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00" w:lineRule="auto"/>
        <w:rPr>
          <w:rFonts w:ascii="宋体" w:cs="Times New Roman"/>
          <w:b/>
          <w:bCs/>
          <w:sz w:val="28"/>
          <w:szCs w:val="28"/>
        </w:rPr>
      </w:pPr>
      <w:r>
        <w:rPr>
          <w:rFonts w:hint="eastAsia" w:ascii="Verdana" w:hAnsi="Verdana" w:cs="宋体"/>
        </w:rPr>
        <w:t>附件</w:t>
      </w:r>
      <w:r>
        <w:rPr>
          <w:rFonts w:ascii="Verdana" w:hAnsi="Verdana" w:cs="Verdana"/>
        </w:rPr>
        <w:t>2</w:t>
      </w:r>
      <w:r>
        <w:rPr>
          <w:rFonts w:hint="eastAsia" w:ascii="Verdana" w:hAnsi="Verdana" w:cs="宋体"/>
        </w:rPr>
        <w:t>：</w:t>
      </w:r>
    </w:p>
    <w:p>
      <w:pPr>
        <w:pStyle w:val="9"/>
        <w:adjustRightInd w:val="0"/>
        <w:snapToGrid w:val="0"/>
        <w:ind w:left="31680" w:hanging="2547" w:hangingChars="302"/>
        <w:jc w:val="center"/>
        <w:rPr>
          <w:rFonts w:hAnsi="宋体" w:cs="Times New Roman"/>
          <w:b/>
          <w:bCs/>
          <w:color w:val="000000"/>
          <w:sz w:val="84"/>
          <w:szCs w:val="84"/>
        </w:rPr>
      </w:pPr>
    </w:p>
    <w:p>
      <w:pPr>
        <w:pStyle w:val="9"/>
        <w:adjustRightInd w:val="0"/>
        <w:snapToGrid w:val="0"/>
        <w:ind w:left="1735" w:leftChars="826"/>
        <w:rPr>
          <w:rFonts w:hAnsi="宋体" w:cs="Times New Roman"/>
          <w:b/>
          <w:bCs/>
          <w:color w:val="000000"/>
          <w:sz w:val="52"/>
          <w:szCs w:val="52"/>
        </w:rPr>
      </w:pPr>
      <w:bookmarkStart w:id="0" w:name="_GoBack"/>
      <w:r>
        <w:rPr>
          <w:rFonts w:hint="eastAsia" w:hAnsi="宋体"/>
          <w:b/>
          <w:bCs/>
          <w:color w:val="000000"/>
          <w:sz w:val="52"/>
          <w:szCs w:val="52"/>
        </w:rPr>
        <w:t>建设工程造价咨询合同</w:t>
      </w:r>
    </w:p>
    <w:bookmarkEnd w:id="0"/>
    <w:p>
      <w:pPr>
        <w:pStyle w:val="9"/>
        <w:adjustRightInd w:val="0"/>
        <w:snapToGrid w:val="0"/>
        <w:ind w:left="31680" w:hanging="849" w:hangingChars="302"/>
        <w:jc w:val="center"/>
        <w:rPr>
          <w:rFonts w:hAnsi="宋体" w:cs="Times New Roman"/>
          <w:b/>
          <w:bCs/>
          <w:color w:val="000000"/>
          <w:sz w:val="28"/>
          <w:szCs w:val="28"/>
        </w:rPr>
      </w:pPr>
    </w:p>
    <w:p>
      <w:pPr>
        <w:pStyle w:val="9"/>
        <w:adjustRightInd w:val="0"/>
        <w:snapToGrid w:val="0"/>
        <w:ind w:left="31680" w:hanging="849" w:hangingChars="302"/>
        <w:jc w:val="center"/>
        <w:rPr>
          <w:rFonts w:hAnsi="宋体" w:cs="Times New Roman"/>
          <w:b/>
          <w:bCs/>
          <w:color w:val="000000"/>
          <w:sz w:val="28"/>
          <w:szCs w:val="28"/>
        </w:rPr>
      </w:pPr>
    </w:p>
    <w:p>
      <w:pPr>
        <w:pStyle w:val="9"/>
        <w:adjustRightInd w:val="0"/>
        <w:snapToGrid w:val="0"/>
        <w:ind w:left="31680" w:hanging="849" w:hangingChars="302"/>
        <w:jc w:val="center"/>
        <w:rPr>
          <w:rFonts w:hAnsi="宋体" w:cs="Times New Roman"/>
          <w:b/>
          <w:bCs/>
          <w:color w:val="000000"/>
          <w:sz w:val="28"/>
          <w:szCs w:val="28"/>
        </w:rPr>
      </w:pPr>
    </w:p>
    <w:p>
      <w:pPr>
        <w:pStyle w:val="9"/>
        <w:adjustRightInd w:val="0"/>
        <w:snapToGrid w:val="0"/>
        <w:ind w:left="31680" w:hanging="849" w:hangingChars="302"/>
        <w:jc w:val="center"/>
        <w:rPr>
          <w:rFonts w:hAnsi="宋体" w:cs="Times New Roman"/>
          <w:b/>
          <w:bCs/>
          <w:color w:val="000000"/>
          <w:sz w:val="28"/>
          <w:szCs w:val="28"/>
        </w:rPr>
      </w:pPr>
    </w:p>
    <w:p>
      <w:pPr>
        <w:pStyle w:val="9"/>
        <w:adjustRightInd w:val="0"/>
        <w:snapToGrid w:val="0"/>
        <w:ind w:left="31680" w:hanging="849" w:hangingChars="302"/>
        <w:jc w:val="center"/>
        <w:rPr>
          <w:rFonts w:hAnsi="宋体" w:cs="Times New Roman"/>
          <w:b/>
          <w:bCs/>
          <w:color w:val="000000"/>
          <w:sz w:val="28"/>
          <w:szCs w:val="28"/>
        </w:rPr>
      </w:pPr>
    </w:p>
    <w:p>
      <w:pPr>
        <w:pStyle w:val="9"/>
        <w:adjustRightInd w:val="0"/>
        <w:snapToGrid w:val="0"/>
        <w:ind w:left="31680" w:hanging="849" w:hangingChars="302"/>
        <w:jc w:val="center"/>
        <w:rPr>
          <w:rFonts w:hAnsi="宋体" w:cs="Times New Roman"/>
          <w:b/>
          <w:bCs/>
          <w:color w:val="000000"/>
          <w:sz w:val="28"/>
          <w:szCs w:val="28"/>
        </w:rPr>
      </w:pPr>
    </w:p>
    <w:p>
      <w:pPr>
        <w:pStyle w:val="9"/>
        <w:adjustRightInd w:val="0"/>
        <w:snapToGrid w:val="0"/>
        <w:ind w:left="31680" w:hanging="849" w:hangingChars="302"/>
        <w:jc w:val="center"/>
        <w:rPr>
          <w:rFonts w:hAnsi="宋体" w:cs="Times New Roman"/>
          <w:b/>
          <w:bCs/>
          <w:color w:val="000000"/>
          <w:sz w:val="28"/>
          <w:szCs w:val="28"/>
        </w:rPr>
      </w:pPr>
    </w:p>
    <w:p>
      <w:pPr>
        <w:pStyle w:val="9"/>
        <w:adjustRightInd w:val="0"/>
        <w:snapToGrid w:val="0"/>
        <w:ind w:left="31680" w:hanging="849" w:hangingChars="302"/>
        <w:jc w:val="center"/>
        <w:rPr>
          <w:rFonts w:hAnsi="宋体" w:cs="Times New Roman"/>
          <w:b/>
          <w:bCs/>
          <w:color w:val="000000"/>
          <w:sz w:val="28"/>
          <w:szCs w:val="28"/>
        </w:rPr>
      </w:pPr>
    </w:p>
    <w:p>
      <w:pPr>
        <w:pStyle w:val="9"/>
        <w:adjustRightInd w:val="0"/>
        <w:snapToGrid w:val="0"/>
        <w:spacing w:line="360" w:lineRule="auto"/>
        <w:rPr>
          <w:rFonts w:hAnsi="宋体" w:cs="Times New Roman"/>
          <w:b/>
          <w:bCs/>
          <w:color w:val="000000"/>
          <w:sz w:val="28"/>
          <w:szCs w:val="28"/>
        </w:rPr>
      </w:pPr>
    </w:p>
    <w:p>
      <w:pPr>
        <w:widowControl/>
        <w:spacing w:line="360" w:lineRule="auto"/>
        <w:jc w:val="center"/>
        <w:rPr>
          <w:rFonts w:ascii="黑体" w:hAnsi="黑体" w:eastAsia="黑体" w:cs="Times New Roman"/>
          <w:kern w:val="0"/>
          <w:sz w:val="36"/>
          <w:szCs w:val="36"/>
        </w:rPr>
      </w:pPr>
      <w:r>
        <w:rPr>
          <w:rFonts w:hint="eastAsia" w:hAnsi="宋体" w:cs="宋体"/>
          <w:b/>
          <w:bCs/>
          <w:color w:val="000000"/>
          <w:sz w:val="28"/>
          <w:szCs w:val="28"/>
        </w:rPr>
        <w:t>工程名称：</w:t>
      </w:r>
      <w:r>
        <w:rPr>
          <w:rFonts w:hint="eastAsia" w:hAnsi="宋体" w:cs="宋体"/>
          <w:b/>
          <w:bCs/>
          <w:color w:val="000000"/>
          <w:sz w:val="28"/>
          <w:szCs w:val="28"/>
          <w:u w:val="single"/>
        </w:rPr>
        <w:t>广西交通职业技术学院昆仑校区东区学生食堂和</w:t>
      </w:r>
      <w:r>
        <w:rPr>
          <w:rFonts w:hAnsi="宋体"/>
          <w:b/>
          <w:bCs/>
          <w:color w:val="000000"/>
          <w:sz w:val="28"/>
          <w:szCs w:val="28"/>
          <w:u w:val="single"/>
        </w:rPr>
        <w:t>13#-18#</w:t>
      </w:r>
      <w:r>
        <w:rPr>
          <w:rFonts w:hint="eastAsia" w:hAnsi="宋体" w:cs="宋体"/>
          <w:b/>
          <w:bCs/>
          <w:color w:val="000000"/>
          <w:sz w:val="28"/>
          <w:szCs w:val="28"/>
          <w:u w:val="single"/>
        </w:rPr>
        <w:t>学生公寓楼项目招标控制价编制服务</w:t>
      </w:r>
    </w:p>
    <w:p>
      <w:pPr>
        <w:pStyle w:val="9"/>
        <w:adjustRightInd w:val="0"/>
        <w:snapToGrid w:val="0"/>
        <w:spacing w:line="360" w:lineRule="auto"/>
        <w:rPr>
          <w:rFonts w:hAnsi="宋体" w:cs="Times New Roman"/>
          <w:b/>
          <w:bCs/>
          <w:color w:val="000000"/>
          <w:sz w:val="28"/>
          <w:szCs w:val="28"/>
          <w:u w:val="single"/>
        </w:rPr>
      </w:pPr>
    </w:p>
    <w:p>
      <w:pPr>
        <w:pStyle w:val="9"/>
        <w:adjustRightInd w:val="0"/>
        <w:snapToGrid w:val="0"/>
        <w:spacing w:line="360" w:lineRule="auto"/>
        <w:ind w:left="3004" w:hanging="1328"/>
        <w:rPr>
          <w:rFonts w:cs="Times New Roman"/>
        </w:rPr>
      </w:pPr>
    </w:p>
    <w:p>
      <w:pPr>
        <w:pStyle w:val="9"/>
        <w:adjustRightInd w:val="0"/>
        <w:snapToGrid w:val="0"/>
        <w:spacing w:line="360" w:lineRule="auto"/>
        <w:rPr>
          <w:rFonts w:hAnsi="宋体" w:cs="Times New Roman"/>
          <w:b/>
          <w:bCs/>
          <w:color w:val="000000"/>
          <w:sz w:val="28"/>
          <w:szCs w:val="28"/>
          <w:u w:val="single"/>
        </w:rPr>
      </w:pPr>
      <w:r>
        <w:rPr>
          <w:rFonts w:hint="eastAsia" w:hAnsi="宋体"/>
          <w:b/>
          <w:bCs/>
          <w:color w:val="000000"/>
          <w:sz w:val="28"/>
          <w:szCs w:val="28"/>
        </w:rPr>
        <w:t>甲方：</w:t>
      </w:r>
      <w:r>
        <w:rPr>
          <w:rFonts w:hint="eastAsia" w:hAnsi="宋体"/>
          <w:b/>
          <w:bCs/>
          <w:color w:val="000000"/>
          <w:sz w:val="28"/>
          <w:szCs w:val="28"/>
          <w:u w:val="single"/>
        </w:rPr>
        <w:t>广西交通职业技术学院（以下简称委托人）</w:t>
      </w:r>
    </w:p>
    <w:p>
      <w:pPr>
        <w:pStyle w:val="9"/>
        <w:adjustRightInd w:val="0"/>
        <w:snapToGrid w:val="0"/>
        <w:spacing w:line="360" w:lineRule="auto"/>
        <w:ind w:firstLine="1687" w:firstLineChars="600"/>
        <w:rPr>
          <w:rFonts w:hAnsi="宋体" w:cs="Times New Roman"/>
          <w:b/>
          <w:bCs/>
          <w:color w:val="000000"/>
          <w:sz w:val="28"/>
          <w:szCs w:val="28"/>
          <w:u w:val="single"/>
        </w:rPr>
      </w:pPr>
    </w:p>
    <w:p>
      <w:pPr>
        <w:pStyle w:val="9"/>
        <w:adjustRightInd w:val="0"/>
        <w:snapToGrid w:val="0"/>
        <w:spacing w:line="360" w:lineRule="auto"/>
        <w:rPr>
          <w:rFonts w:hAnsi="宋体" w:cs="Times New Roman"/>
          <w:b/>
          <w:bCs/>
          <w:color w:val="000000"/>
          <w:sz w:val="28"/>
          <w:szCs w:val="28"/>
          <w:u w:val="single"/>
        </w:rPr>
      </w:pPr>
      <w:r>
        <w:rPr>
          <w:rFonts w:hint="eastAsia" w:hAnsi="宋体"/>
          <w:b/>
          <w:bCs/>
          <w:color w:val="000000"/>
          <w:sz w:val="28"/>
          <w:szCs w:val="28"/>
        </w:rPr>
        <w:t>乙方：</w:t>
      </w:r>
      <w:r>
        <w:rPr>
          <w:rFonts w:hint="eastAsia" w:hAnsi="宋体"/>
          <w:b/>
          <w:bCs/>
          <w:color w:val="000000"/>
          <w:sz w:val="28"/>
          <w:szCs w:val="28"/>
          <w:u w:val="single"/>
        </w:rPr>
        <w:t>（以下简称咨询人）</w:t>
      </w:r>
    </w:p>
    <w:p>
      <w:pPr>
        <w:pStyle w:val="3"/>
        <w:tabs>
          <w:tab w:val="left" w:pos="4197"/>
        </w:tabs>
        <w:jc w:val="both"/>
        <w:sectPr>
          <w:pgSz w:w="11906" w:h="16838"/>
          <w:pgMar w:top="1440" w:right="1800" w:bottom="1440" w:left="1800" w:header="851" w:footer="992" w:gutter="0"/>
          <w:cols w:space="425" w:num="1"/>
          <w:docGrid w:type="lines" w:linePitch="312" w:charSpace="0"/>
        </w:sectPr>
      </w:pPr>
    </w:p>
    <w:p>
      <w:pPr>
        <w:pStyle w:val="3"/>
        <w:tabs>
          <w:tab w:val="left" w:pos="4197"/>
        </w:tabs>
        <w:ind w:firstLine="2195" w:firstLineChars="497"/>
        <w:jc w:val="both"/>
      </w:pPr>
      <w:r>
        <w:rPr>
          <w:rFonts w:hint="eastAsia" w:cs="宋体"/>
        </w:rPr>
        <w:t>合同主要条款格式</w:t>
      </w:r>
    </w:p>
    <w:p>
      <w:pPr>
        <w:rPr>
          <w:rFonts w:cs="Times New Roman"/>
        </w:rPr>
      </w:pPr>
    </w:p>
    <w:p>
      <w:pPr>
        <w:pStyle w:val="5"/>
      </w:pPr>
      <w:r>
        <w:rPr>
          <w:rFonts w:hint="eastAsia" w:cs="宋体"/>
        </w:rPr>
        <w:t>委托方（甲方）：</w:t>
      </w:r>
      <w:r>
        <w:t xml:space="preserve"> </w:t>
      </w:r>
    </w:p>
    <w:p>
      <w:pPr>
        <w:rPr>
          <w:rFonts w:cs="Times New Roman"/>
        </w:rPr>
      </w:pPr>
    </w:p>
    <w:p>
      <w:pPr>
        <w:pStyle w:val="5"/>
      </w:pPr>
      <w:r>
        <w:rPr>
          <w:rFonts w:hint="eastAsia" w:cs="宋体"/>
        </w:rPr>
        <w:t>中标方（乙方）：</w:t>
      </w:r>
      <w:r>
        <w:t xml:space="preserve"> </w:t>
      </w:r>
    </w:p>
    <w:p>
      <w:pPr>
        <w:pStyle w:val="5"/>
        <w:spacing w:before="3"/>
        <w:ind w:firstLine="241" w:firstLineChars="100"/>
        <w:rPr>
          <w:rFonts w:ascii="黑体" w:eastAsia="黑体" w:cs="Times New Roman"/>
        </w:rPr>
      </w:pPr>
      <w:r>
        <w:rPr>
          <w:rFonts w:hint="eastAsia" w:ascii="黑体" w:eastAsia="黑体" w:cs="黑体"/>
        </w:rPr>
        <w:t>一、总则</w:t>
      </w:r>
    </w:p>
    <w:p>
      <w:pPr>
        <w:pStyle w:val="7"/>
        <w:spacing w:before="132" w:line="355" w:lineRule="auto"/>
        <w:ind w:left="280" w:right="291" w:firstLine="420"/>
        <w:rPr>
          <w:rFonts w:hint="eastAsia"/>
          <w:lang w:val="en-US" w:eastAsia="zh-CN"/>
        </w:rPr>
      </w:pPr>
      <w:r>
        <w:t xml:space="preserve">   </w:t>
      </w:r>
      <w:r>
        <w:rPr>
          <w:rFonts w:hint="eastAsia"/>
          <w:u w:val="single"/>
          <w:lang w:val="en-US" w:eastAsia="zh-CN"/>
        </w:rPr>
        <w:t>广西交通职业技术学院</w:t>
      </w:r>
      <w:r>
        <w:rPr>
          <w:rFonts w:hint="eastAsia"/>
          <w:lang w:val="en-US" w:eastAsia="zh-CN"/>
        </w:rPr>
        <w:t>（以下简称甲方）委托</w:t>
      </w:r>
      <w:r>
        <w:rPr>
          <w:rFonts w:hint="eastAsia"/>
          <w:u w:val="single"/>
          <w:lang w:val="en-US" w:eastAsia="zh-CN"/>
        </w:rPr>
        <w:t xml:space="preserve">            </w:t>
      </w:r>
      <w:r>
        <w:rPr>
          <w:rFonts w:hint="eastAsia"/>
          <w:lang w:val="en-US" w:eastAsia="zh-CN"/>
        </w:rPr>
        <w:t>（以下简称乙方）承担昆仑校区东区学生食堂和13#-18#学生公寓楼项目招标控制价编制服务。本合同遵守《中华人民共和国合同法》、《中华人民共和国价格法》和有关法律法规，经双方充分协商一致签订本合同。</w:t>
      </w:r>
    </w:p>
    <w:p>
      <w:pPr>
        <w:spacing w:line="360" w:lineRule="auto"/>
        <w:ind w:firstLine="482" w:firstLineChars="200"/>
        <w:rPr>
          <w:rFonts w:hint="eastAsia" w:ascii="黑体" w:hAnsi="Calibri" w:eastAsia="黑体" w:cs="黑体"/>
          <w:b/>
          <w:bCs/>
          <w:kern w:val="2"/>
          <w:sz w:val="24"/>
          <w:szCs w:val="24"/>
          <w:lang w:val="en-US" w:eastAsia="zh-CN" w:bidi="ar-SA"/>
        </w:rPr>
      </w:pPr>
      <w:r>
        <w:rPr>
          <w:rFonts w:hint="eastAsia" w:ascii="黑体" w:hAnsi="Calibri" w:eastAsia="黑体" w:cs="黑体"/>
          <w:b/>
          <w:bCs/>
          <w:kern w:val="2"/>
          <w:sz w:val="24"/>
          <w:szCs w:val="24"/>
          <w:lang w:val="en-US" w:eastAsia="zh-CN" w:bidi="ar-SA"/>
        </w:rPr>
        <w:t>二、采购项目基本概况、服务质量要求、服务期限</w:t>
      </w:r>
    </w:p>
    <w:p>
      <w:pPr>
        <w:pStyle w:val="7"/>
        <w:spacing w:before="132" w:line="355" w:lineRule="auto"/>
        <w:ind w:right="291" w:firstLine="420" w:firstLineChars="200"/>
      </w:pPr>
      <w:r>
        <w:t>1.</w:t>
      </w:r>
      <w:r>
        <w:rPr>
          <w:rFonts w:hint="eastAsia"/>
        </w:rPr>
        <w:t>建设地点</w:t>
      </w:r>
      <w:r>
        <w:t>:</w:t>
      </w:r>
      <w:r>
        <w:rPr>
          <w:rFonts w:hint="eastAsia"/>
        </w:rPr>
        <w:t>南宁市兴宁区昆仑大道</w:t>
      </w:r>
      <w:r>
        <w:t>1258</w:t>
      </w:r>
      <w:r>
        <w:rPr>
          <w:rFonts w:hint="eastAsia"/>
        </w:rPr>
        <w:t>号广西交通职业技术学院昆仑校区；</w:t>
      </w:r>
    </w:p>
    <w:p>
      <w:pPr>
        <w:pStyle w:val="7"/>
        <w:spacing w:before="132" w:line="355" w:lineRule="auto"/>
        <w:ind w:right="291" w:firstLine="420" w:firstLineChars="200"/>
        <w:rPr>
          <w:rFonts w:hint="eastAsia" w:eastAsia="宋体"/>
          <w:lang w:eastAsia="zh-CN"/>
        </w:rPr>
      </w:pPr>
      <w:r>
        <w:t xml:space="preserve">2. </w:t>
      </w:r>
      <w:r>
        <w:rPr>
          <w:rFonts w:hint="eastAsia"/>
        </w:rPr>
        <w:t>建设内容、规模</w:t>
      </w:r>
      <w:r>
        <w:rPr>
          <w:rFonts w:hint="eastAsia"/>
          <w:lang w:eastAsia="zh-CN"/>
        </w:rPr>
        <w:t>：</w:t>
      </w:r>
    </w:p>
    <w:p>
      <w:pPr>
        <w:pStyle w:val="7"/>
        <w:spacing w:before="132" w:line="355" w:lineRule="auto"/>
        <w:ind w:left="280" w:right="291" w:firstLine="420"/>
      </w:pPr>
      <w:r>
        <w:rPr>
          <w:rFonts w:hint="eastAsia"/>
        </w:rPr>
        <w:t>建筑总面积</w:t>
      </w:r>
      <w:r>
        <w:t>66000</w:t>
      </w:r>
      <w:r>
        <w:rPr>
          <w:rFonts w:hint="eastAsia"/>
        </w:rPr>
        <w:t>平方米，其中</w:t>
      </w:r>
      <w:r>
        <w:t>:</w:t>
      </w:r>
      <w:r>
        <w:rPr>
          <w:rFonts w:hint="eastAsia"/>
        </w:rPr>
        <w:t>东区学生食堂建筑面积</w:t>
      </w:r>
      <w:r>
        <w:t>11000</w:t>
      </w:r>
      <w:r>
        <w:rPr>
          <w:rFonts w:hint="eastAsia"/>
        </w:rPr>
        <w:t>平方米，</w:t>
      </w:r>
      <w:r>
        <w:t>13#-18#</w:t>
      </w:r>
      <w:r>
        <w:rPr>
          <w:rFonts w:hint="eastAsia"/>
        </w:rPr>
        <w:t>学生公寓楼建筑面积</w:t>
      </w:r>
      <w:r>
        <w:t>55000</w:t>
      </w:r>
      <w:r>
        <w:rPr>
          <w:rFonts w:hint="eastAsia"/>
        </w:rPr>
        <w:t>平方米。主要建设内容包括建安工程、设备购置及道路、绿化、给排水、照明等室外配套工程。项目投资估算：工程建安总投资估算为</w:t>
      </w:r>
      <w:r>
        <w:t>22000</w:t>
      </w:r>
      <w:r>
        <w:rPr>
          <w:rFonts w:hint="eastAsia"/>
        </w:rPr>
        <w:t>万元。</w:t>
      </w:r>
    </w:p>
    <w:p>
      <w:pPr>
        <w:pStyle w:val="7"/>
        <w:spacing w:before="132" w:line="355" w:lineRule="auto"/>
        <w:ind w:left="280" w:right="291" w:firstLine="420"/>
      </w:pPr>
      <w:r>
        <w:t>3.</w:t>
      </w:r>
      <w:r>
        <w:rPr>
          <w:rFonts w:hint="eastAsia"/>
        </w:rPr>
        <w:t>编制服务要求：符合国家规定的标准和现术规范、规程要求。根据业主提供的施工图纸，运用广西现行土建及安装定额、费用定额以及配套的政策、信息价格，编制合理的工程量清单和招标控制价，满足财审的要求。</w:t>
      </w:r>
    </w:p>
    <w:p>
      <w:pPr>
        <w:pStyle w:val="7"/>
        <w:spacing w:before="132" w:line="355" w:lineRule="auto"/>
        <w:ind w:left="280" w:right="291" w:firstLine="420"/>
      </w:pPr>
      <w:r>
        <w:t>4.</w:t>
      </w:r>
      <w:r>
        <w:rPr>
          <w:rFonts w:hint="eastAsia"/>
        </w:rPr>
        <w:t>受托方提供的造价咨询成果达不到财审要求的，受托方应无条件完善、修改，并在后期与财审单位沟通联系，解答财审单位提出的问题。</w:t>
      </w:r>
    </w:p>
    <w:p>
      <w:pPr>
        <w:pStyle w:val="7"/>
        <w:spacing w:before="132" w:line="355" w:lineRule="auto"/>
        <w:ind w:left="280" w:right="291" w:firstLine="420"/>
      </w:pPr>
      <w:r>
        <w:t>5.</w:t>
      </w:r>
      <w:r>
        <w:rPr>
          <w:rFonts w:hint="eastAsia"/>
        </w:rPr>
        <w:t>受托方应按合同约定向委托方提供造价咨询成果</w:t>
      </w:r>
      <w:r>
        <w:t>3</w:t>
      </w:r>
      <w:r>
        <w:rPr>
          <w:rFonts w:hint="eastAsia"/>
        </w:rPr>
        <w:t>份，电子版</w:t>
      </w:r>
      <w:r>
        <w:t>1</w:t>
      </w:r>
      <w:r>
        <w:rPr>
          <w:rFonts w:hint="eastAsia"/>
        </w:rPr>
        <w:t>份。</w:t>
      </w:r>
    </w:p>
    <w:p>
      <w:pPr>
        <w:pStyle w:val="7"/>
        <w:spacing w:before="132" w:line="355" w:lineRule="auto"/>
        <w:ind w:left="280" w:right="291" w:firstLine="420"/>
        <w:rPr>
          <w:rFonts w:hint="eastAsia"/>
        </w:rPr>
      </w:pPr>
      <w:r>
        <w:t>6.</w:t>
      </w:r>
      <w:r>
        <w:rPr>
          <w:rFonts w:hint="eastAsia"/>
        </w:rPr>
        <w:t>服务期限：</w:t>
      </w:r>
      <w:r>
        <w:rPr>
          <w:rFonts w:hint="eastAsia"/>
          <w:lang w:val="en-US" w:eastAsia="zh-CN"/>
        </w:rPr>
        <w:t>合同签订后，乙方接到甲方提供完整的达到国家有关规定要求的项目有关基础资料之日起，    个自然日内完成该项目工程量清单和招标控制价编制工作。</w:t>
      </w:r>
    </w:p>
    <w:p>
      <w:pPr>
        <w:pStyle w:val="5"/>
        <w:spacing w:before="119"/>
        <w:rPr>
          <w:rFonts w:ascii="黑体" w:eastAsia="黑体" w:cs="Times New Roman"/>
        </w:rPr>
      </w:pPr>
      <w:r>
        <w:rPr>
          <w:rFonts w:hint="eastAsia" w:ascii="黑体" w:eastAsia="黑体" w:cs="黑体"/>
        </w:rPr>
        <w:t>三、</w:t>
      </w:r>
      <w:r>
        <w:rPr>
          <w:rFonts w:hint="eastAsia" w:cs="宋体"/>
        </w:rPr>
        <w:t>合同价款及支付</w:t>
      </w:r>
    </w:p>
    <w:p>
      <w:pPr>
        <w:pStyle w:val="7"/>
        <w:spacing w:line="410" w:lineRule="auto"/>
        <w:ind w:right="293" w:firstLine="480" w:firstLineChars="200"/>
        <w:jc w:val="both"/>
        <w:rPr>
          <w:rFonts w:cs="Times New Roman"/>
          <w:color w:val="000000"/>
          <w:sz w:val="24"/>
          <w:szCs w:val="24"/>
        </w:rPr>
      </w:pPr>
      <w:r>
        <w:rPr>
          <w:color w:val="000000"/>
          <w:sz w:val="24"/>
          <w:szCs w:val="24"/>
        </w:rPr>
        <w:t>1.</w:t>
      </w:r>
      <w:r>
        <w:rPr>
          <w:rFonts w:hint="eastAsia"/>
          <w:color w:val="000000"/>
          <w:sz w:val="24"/>
          <w:szCs w:val="24"/>
        </w:rPr>
        <w:t>合同价款：</w:t>
      </w:r>
    </w:p>
    <w:p>
      <w:pPr>
        <w:pStyle w:val="7"/>
        <w:spacing w:line="410" w:lineRule="auto"/>
        <w:ind w:right="293" w:firstLine="420" w:firstLineChars="200"/>
        <w:jc w:val="both"/>
        <w:rPr>
          <w:rFonts w:cs="Times New Roman"/>
          <w:spacing w:val="-4"/>
        </w:rPr>
      </w:pPr>
      <w:r>
        <w:rPr>
          <w:rFonts w:hint="eastAsia"/>
        </w:rPr>
        <w:t>本项目为固定总价合同，合同价为人民币（大写）</w:t>
      </w:r>
      <w:r>
        <w:rPr>
          <w:u w:val="single"/>
        </w:rPr>
        <w:t xml:space="preserve">                         </w:t>
      </w:r>
      <w:r>
        <w:rPr>
          <w:rFonts w:hint="eastAsia"/>
        </w:rPr>
        <w:t>。</w:t>
      </w:r>
    </w:p>
    <w:p>
      <w:pPr>
        <w:numPr>
          <w:ilvl w:val="0"/>
          <w:numId w:val="1"/>
        </w:numPr>
        <w:snapToGrid w:val="0"/>
        <w:spacing w:line="540" w:lineRule="exact"/>
        <w:ind w:firstLine="420" w:firstLineChars="200"/>
        <w:rPr>
          <w:rFonts w:hint="eastAsia" w:cs="宋体"/>
        </w:rPr>
      </w:pPr>
      <w:r>
        <w:rPr>
          <w:rFonts w:hint="eastAsia" w:cs="宋体"/>
        </w:rPr>
        <w:t>支付</w:t>
      </w:r>
      <w:r>
        <w:t xml:space="preserve">: </w:t>
      </w:r>
      <w:r>
        <w:rPr>
          <w:rFonts w:hint="eastAsia" w:cs="宋体"/>
        </w:rPr>
        <w:t>本项目无预付款。甲方在乙方完成造价咨询工作并提交成果</w:t>
      </w:r>
      <w:r>
        <w:t>3</w:t>
      </w:r>
      <w:r>
        <w:rPr>
          <w:rFonts w:hint="eastAsia" w:cs="宋体"/>
        </w:rPr>
        <w:t>个工作日内，向乙方支付合同价款的</w:t>
      </w:r>
      <w:r>
        <w:t>90%</w:t>
      </w:r>
      <w:r>
        <w:rPr>
          <w:rFonts w:hint="eastAsia" w:cs="宋体"/>
        </w:rPr>
        <w:t>，即人民币（大写）</w:t>
      </w:r>
      <w:r>
        <w:rPr>
          <w:u w:val="single"/>
        </w:rPr>
        <w:t xml:space="preserve">                   </w:t>
      </w:r>
      <w:r>
        <w:t xml:space="preserve">; </w:t>
      </w:r>
      <w:r>
        <w:rPr>
          <w:rFonts w:hint="eastAsia" w:cs="宋体"/>
        </w:rPr>
        <w:t>甲方在获得财审结果后</w:t>
      </w:r>
      <w:r>
        <w:t>3</w:t>
      </w:r>
      <w:r>
        <w:rPr>
          <w:rFonts w:hint="eastAsia" w:cs="宋体"/>
        </w:rPr>
        <w:t>个工作日内，向乙方支付合同价款的</w:t>
      </w:r>
      <w:r>
        <w:t>10%</w:t>
      </w:r>
      <w:r>
        <w:rPr>
          <w:rFonts w:hint="eastAsia" w:cs="宋体"/>
        </w:rPr>
        <w:t>，即人民币元（大写）</w:t>
      </w:r>
      <w:r>
        <w:rPr>
          <w:u w:val="single"/>
        </w:rPr>
        <w:t xml:space="preserve">                </w:t>
      </w:r>
      <w:r>
        <w:rPr>
          <w:rFonts w:hint="eastAsia" w:cs="宋体"/>
        </w:rPr>
        <w:t>。</w:t>
      </w:r>
    </w:p>
    <w:p>
      <w:pPr>
        <w:pStyle w:val="2"/>
        <w:numPr>
          <w:ilvl w:val="0"/>
          <w:numId w:val="0"/>
        </w:numPr>
      </w:pPr>
    </w:p>
    <w:p>
      <w:pPr>
        <w:pStyle w:val="5"/>
        <w:keepNext w:val="0"/>
        <w:keepLines w:val="0"/>
        <w:numPr>
          <w:ilvl w:val="0"/>
          <w:numId w:val="2"/>
        </w:numPr>
        <w:autoSpaceDE w:val="0"/>
        <w:autoSpaceDN w:val="0"/>
        <w:spacing w:before="0" w:after="0" w:line="240" w:lineRule="auto"/>
        <w:rPr>
          <w:rFonts w:ascii="黑体" w:eastAsia="黑体" w:cs="Times New Roman"/>
        </w:rPr>
      </w:pPr>
      <w:r>
        <w:rPr>
          <w:rFonts w:hint="eastAsia" w:ascii="黑体" w:eastAsia="黑体" w:cs="黑体"/>
        </w:rPr>
        <w:t>双方职责</w:t>
      </w:r>
    </w:p>
    <w:p>
      <w:pPr>
        <w:pStyle w:val="5"/>
        <w:rPr>
          <w:rFonts w:ascii="黑体" w:eastAsia="黑体" w:cs="Times New Roman"/>
        </w:rPr>
      </w:pPr>
      <w:r>
        <w:rPr>
          <w:rFonts w:hint="eastAsia" w:ascii="黑体" w:eastAsia="黑体" w:cs="黑体"/>
        </w:rPr>
        <w:t>（一）甲方职责</w:t>
      </w:r>
    </w:p>
    <w:p>
      <w:pPr>
        <w:snapToGrid w:val="0"/>
        <w:spacing w:line="540" w:lineRule="exact"/>
        <w:ind w:firstLine="400" w:firstLineChars="200"/>
        <w:rPr>
          <w:rFonts w:ascii="宋体" w:cs="Times New Roman"/>
          <w:spacing w:val="-5"/>
          <w:kern w:val="0"/>
          <w:lang w:val="zh-CN"/>
        </w:rPr>
      </w:pPr>
      <w:r>
        <w:rPr>
          <w:rFonts w:ascii="宋体" w:hAnsi="宋体" w:cs="宋体"/>
          <w:spacing w:val="-5"/>
          <w:kern w:val="0"/>
        </w:rPr>
        <w:t>1.</w:t>
      </w:r>
      <w:r>
        <w:rPr>
          <w:rFonts w:hint="eastAsia" w:ascii="宋体" w:hAnsi="宋体" w:cs="宋体"/>
          <w:spacing w:val="-5"/>
          <w:kern w:val="0"/>
          <w:lang w:val="zh-CN"/>
        </w:rPr>
        <w:t>尊重乙方根据国家及行业有关标准、规程和规范的规定开展造价咨询工作的权利，不向乙方提出与国家及行业有关标准、规程、规范相抵触的要求；</w:t>
      </w:r>
    </w:p>
    <w:p>
      <w:pPr>
        <w:snapToGrid w:val="0"/>
        <w:spacing w:line="540" w:lineRule="exact"/>
        <w:ind w:firstLine="400" w:firstLineChars="200"/>
        <w:rPr>
          <w:rFonts w:ascii="宋体" w:cs="Times New Roman"/>
          <w:spacing w:val="-5"/>
          <w:kern w:val="0"/>
          <w:lang w:val="zh-CN"/>
        </w:rPr>
      </w:pPr>
      <w:r>
        <w:rPr>
          <w:rFonts w:ascii="宋体" w:hAnsi="宋体" w:cs="宋体"/>
          <w:spacing w:val="-5"/>
          <w:kern w:val="0"/>
          <w:lang w:val="zh-CN"/>
        </w:rPr>
        <w:t>2.</w:t>
      </w:r>
      <w:r>
        <w:rPr>
          <w:rFonts w:hint="eastAsia" w:ascii="宋体" w:hAnsi="宋体" w:cs="宋体"/>
          <w:spacing w:val="-5"/>
          <w:kern w:val="0"/>
          <w:lang w:val="zh-CN"/>
        </w:rPr>
        <w:t>向乙方提供开展造价咨询工作所需的有关基础资料；</w:t>
      </w:r>
    </w:p>
    <w:p>
      <w:pPr>
        <w:snapToGrid w:val="0"/>
        <w:spacing w:line="540" w:lineRule="exact"/>
        <w:ind w:firstLine="420" w:firstLineChars="200"/>
        <w:rPr>
          <w:rFonts w:ascii="宋体" w:cs="Times New Roman"/>
          <w:spacing w:val="-5"/>
          <w:kern w:val="0"/>
          <w:lang w:val="zh-CN"/>
        </w:rPr>
      </w:pPr>
      <w:r>
        <w:rPr>
          <w:kern w:val="0"/>
        </w:rPr>
        <w:t>3.</w:t>
      </w:r>
      <w:r>
        <w:rPr>
          <w:rFonts w:hint="eastAsia" w:cs="宋体"/>
          <w:kern w:val="0"/>
        </w:rPr>
        <w:t>协调有关单位配合乙方开展造价咨询工作；</w:t>
      </w:r>
    </w:p>
    <w:p>
      <w:pPr>
        <w:pStyle w:val="5"/>
        <w:spacing w:line="267" w:lineRule="exact"/>
        <w:rPr>
          <w:rFonts w:ascii="黑体" w:eastAsia="黑体" w:cs="Times New Roman"/>
        </w:rPr>
      </w:pPr>
      <w:r>
        <w:rPr>
          <w:rFonts w:hint="eastAsia" w:ascii="黑体" w:eastAsia="黑体" w:cs="黑体"/>
        </w:rPr>
        <w:t>（二）乙方责任</w:t>
      </w:r>
    </w:p>
    <w:p>
      <w:pPr>
        <w:pStyle w:val="7"/>
        <w:spacing w:before="131" w:line="357" w:lineRule="auto"/>
        <w:ind w:left="280" w:right="291" w:firstLine="420"/>
        <w:rPr>
          <w:rFonts w:cs="Times New Roman"/>
          <w:spacing w:val="-4"/>
        </w:rPr>
      </w:pPr>
      <w:r>
        <w:t>1</w:t>
      </w:r>
      <w:r>
        <w:rPr>
          <w:rFonts w:hint="eastAsia"/>
          <w:spacing w:val="-5"/>
        </w:rPr>
        <w:t>、成果应符合项目区实际情况，符合项目区群众生产生活要求，并应按国家、地方的规定和合同约定</w:t>
      </w:r>
      <w:r>
        <w:rPr>
          <w:rFonts w:hint="eastAsia"/>
          <w:spacing w:val="-4"/>
        </w:rPr>
        <w:t>的技术规范、标准和深度来编制。乙方应按合同规定的时间向甲方交付的成果质量负责。</w:t>
      </w:r>
    </w:p>
    <w:p>
      <w:pPr>
        <w:snapToGrid w:val="0"/>
        <w:spacing w:line="540" w:lineRule="exact"/>
        <w:ind w:firstLine="630" w:firstLineChars="300"/>
        <w:rPr>
          <w:rFonts w:ascii="宋体" w:hAnsi="宋体" w:cs="宋体"/>
          <w:spacing w:val="-5"/>
          <w:kern w:val="0"/>
          <w:lang w:val="zh-CN"/>
        </w:rPr>
      </w:pPr>
      <w:r>
        <w:rPr>
          <w:kern w:val="0"/>
        </w:rPr>
        <w:t>2.</w:t>
      </w:r>
      <w:r>
        <w:rPr>
          <w:rFonts w:hint="eastAsia" w:cs="宋体"/>
          <w:kern w:val="0"/>
        </w:rPr>
        <w:t>按照合同约定组织和实施造价咨询工作，保证工作质量；及时向甲方交付工作成果并对其完整性和准确性负责；</w:t>
      </w:r>
      <w:r>
        <w:rPr>
          <w:rFonts w:ascii="宋体" w:hAnsi="宋体" w:cs="宋体"/>
          <w:spacing w:val="-5"/>
          <w:kern w:val="0"/>
          <w:lang w:val="zh-CN"/>
        </w:rPr>
        <w:t xml:space="preserve"> </w:t>
      </w:r>
    </w:p>
    <w:p>
      <w:pPr>
        <w:snapToGrid w:val="0"/>
        <w:spacing w:line="540" w:lineRule="exact"/>
        <w:ind w:firstLine="420" w:firstLineChars="200"/>
        <w:rPr>
          <w:rFonts w:ascii="宋体" w:cs="Times New Roman"/>
          <w:color w:val="FF6600"/>
          <w:sz w:val="24"/>
          <w:szCs w:val="24"/>
        </w:rPr>
      </w:pPr>
      <w:r>
        <w:t>3.</w:t>
      </w:r>
      <w:r>
        <w:rPr>
          <w:rFonts w:hint="eastAsia" w:cs="宋体"/>
        </w:rPr>
        <w:t>协助和配合财审单位对投标控制价的审核。乙方交付成果后，按规定参加有关主管部门的审查，并负责根据审查结论对不超出原定计划任务书</w:t>
      </w:r>
      <w:r>
        <w:rPr>
          <w:rFonts w:hint="eastAsia" w:cs="宋体"/>
          <w:spacing w:val="-4"/>
        </w:rPr>
        <w:t>范围内的做必要调整补充。</w:t>
      </w:r>
    </w:p>
    <w:p>
      <w:pPr>
        <w:pStyle w:val="7"/>
        <w:spacing w:line="357" w:lineRule="auto"/>
        <w:ind w:left="280" w:right="291" w:firstLine="420"/>
        <w:rPr>
          <w:rFonts w:cs="Times New Roman"/>
        </w:rPr>
      </w:pPr>
      <w:r>
        <w:rPr>
          <w:lang w:val="en-US"/>
        </w:rPr>
        <w:t>4.</w:t>
      </w:r>
      <w:r>
        <w:rPr>
          <w:rFonts w:hint="eastAsia"/>
        </w:rPr>
        <w:t>乙方提供的成果资料不合格的，乙方应负责无偿予以重新编制或采取补救措施，以达到质量要求。</w:t>
      </w:r>
    </w:p>
    <w:p>
      <w:pPr>
        <w:pStyle w:val="7"/>
        <w:spacing w:line="357" w:lineRule="auto"/>
        <w:ind w:left="280" w:right="291" w:firstLine="420"/>
        <w:rPr>
          <w:lang w:val="en-US"/>
        </w:rPr>
      </w:pPr>
      <w:r>
        <w:rPr>
          <w:lang w:val="en-US"/>
        </w:rPr>
        <w:t>5.</w:t>
      </w:r>
      <w:r>
        <w:rPr>
          <w:rFonts w:hint="eastAsia"/>
          <w:lang w:val="en-US"/>
        </w:rPr>
        <w:t>乙方投入的人员</w:t>
      </w:r>
      <w:r>
        <w:rPr>
          <w:rFonts w:hint="eastAsia"/>
          <w:lang w:val="en-US" w:eastAsia="zh-CN"/>
        </w:rPr>
        <w:t>应</w:t>
      </w:r>
      <w:r>
        <w:rPr>
          <w:rFonts w:hint="eastAsia"/>
          <w:lang w:val="en-US"/>
        </w:rPr>
        <w:t>为本单位专职人员，且具有相关职业资格，委派的技术负责人和审核人员必须与投标时承诺的人员一致（人员名单详见附表）；</w:t>
      </w:r>
    </w:p>
    <w:p>
      <w:pPr>
        <w:pStyle w:val="5"/>
        <w:spacing w:before="134"/>
        <w:rPr>
          <w:rFonts w:ascii="黑体" w:eastAsia="黑体" w:cs="Times New Roman"/>
        </w:rPr>
      </w:pPr>
      <w:r>
        <w:rPr>
          <w:rFonts w:hint="eastAsia" w:ascii="黑体" w:eastAsia="黑体" w:cs="黑体"/>
        </w:rPr>
        <w:t>五、违约责任</w:t>
      </w:r>
    </w:p>
    <w:p>
      <w:pPr>
        <w:pStyle w:val="5"/>
        <w:spacing w:before="130"/>
        <w:rPr>
          <w:rFonts w:ascii="黑体" w:eastAsia="黑体" w:cs="Times New Roman"/>
        </w:rPr>
      </w:pPr>
      <w:r>
        <w:rPr>
          <w:rFonts w:hint="eastAsia" w:ascii="黑体" w:eastAsia="黑体" w:cs="黑体"/>
        </w:rPr>
        <w:t>（一）甲方违约责任</w:t>
      </w:r>
    </w:p>
    <w:p>
      <w:pPr>
        <w:pStyle w:val="7"/>
        <w:spacing w:before="132" w:line="355" w:lineRule="auto"/>
        <w:ind w:left="280" w:right="291" w:firstLine="420"/>
        <w:rPr>
          <w:rFonts w:cs="Times New Roman"/>
        </w:rPr>
      </w:pPr>
      <w:r>
        <w:t>1</w:t>
      </w:r>
      <w:r>
        <w:rPr>
          <w:rFonts w:hint="eastAsia"/>
          <w:spacing w:val="-5"/>
        </w:rPr>
        <w:t>．在合同履行期间，因甲方原因要求终止或解除合同的，</w:t>
      </w:r>
      <w:r>
        <w:rPr>
          <w:rFonts w:hint="eastAsia"/>
        </w:rPr>
        <w:t>乙方已进入现场工作的，</w:t>
      </w:r>
      <w:r>
        <w:rPr>
          <w:rFonts w:hint="eastAsia"/>
          <w:spacing w:val="-5"/>
        </w:rPr>
        <w:t>甲方应按乙方实际发生的工作量核清计算费用。</w:t>
      </w:r>
    </w:p>
    <w:p>
      <w:pPr>
        <w:pStyle w:val="7"/>
        <w:spacing w:before="3" w:line="357" w:lineRule="auto"/>
        <w:ind w:left="280" w:right="291" w:firstLine="420"/>
        <w:rPr>
          <w:rFonts w:cs="Times New Roman"/>
          <w:spacing w:val="-4"/>
        </w:rPr>
      </w:pPr>
      <w:r>
        <w:t>2</w:t>
      </w:r>
      <w:r>
        <w:rPr>
          <w:rFonts w:hint="eastAsia"/>
          <w:spacing w:val="-5"/>
        </w:rPr>
        <w:t>．有关审批部门不是因乙方编制的文件质量问题而对成果文件不审批或本合同项目停缓建，甲方均应</w:t>
      </w:r>
      <w:r>
        <w:rPr>
          <w:rFonts w:hint="eastAsia"/>
          <w:spacing w:val="-4"/>
        </w:rPr>
        <w:t>按合同支付乙方已完成相应阶段的费用。</w:t>
      </w:r>
    </w:p>
    <w:p>
      <w:pPr>
        <w:pStyle w:val="7"/>
        <w:spacing w:before="3" w:line="357" w:lineRule="auto"/>
        <w:ind w:left="280" w:right="291" w:firstLine="420"/>
        <w:rPr>
          <w:rFonts w:cs="Times New Roman"/>
        </w:rPr>
      </w:pPr>
      <w:r>
        <w:t>3.</w:t>
      </w:r>
      <w:r>
        <w:rPr>
          <w:rFonts w:hint="eastAsia"/>
        </w:rPr>
        <w:t>甲方未按时支付乙方造价咨询费费，应按所欠合同总价款的</w:t>
      </w:r>
      <w:r>
        <w:rPr>
          <w:color w:val="auto"/>
        </w:rPr>
        <w:t>1</w:t>
      </w:r>
      <w:r>
        <w:rPr>
          <w:rFonts w:hint="eastAsia"/>
          <w:color w:val="auto"/>
        </w:rPr>
        <w:t>‰</w:t>
      </w:r>
      <w:r>
        <w:rPr>
          <w:color w:val="auto"/>
        </w:rPr>
        <w:t>/</w:t>
      </w:r>
      <w:r>
        <w:rPr>
          <w:rFonts w:hint="eastAsia"/>
          <w:color w:val="auto"/>
        </w:rPr>
        <w:t>日的标</w:t>
      </w:r>
      <w:r>
        <w:rPr>
          <w:rFonts w:hint="eastAsia"/>
        </w:rPr>
        <w:t>准，向乙方支付违约金。</w:t>
      </w:r>
    </w:p>
    <w:p>
      <w:pPr>
        <w:pStyle w:val="5"/>
        <w:spacing w:before="136"/>
        <w:rPr>
          <w:rFonts w:ascii="黑体" w:eastAsia="黑体" w:cs="Times New Roman"/>
        </w:rPr>
      </w:pPr>
      <w:r>
        <w:rPr>
          <w:rFonts w:hint="eastAsia" w:ascii="黑体" w:eastAsia="黑体" w:cs="黑体"/>
        </w:rPr>
        <w:t>（二）乙方违约责任</w:t>
      </w:r>
    </w:p>
    <w:p>
      <w:pPr>
        <w:pStyle w:val="7"/>
        <w:spacing w:before="3" w:line="357" w:lineRule="auto"/>
        <w:ind w:left="280" w:right="291" w:firstLine="420"/>
        <w:rPr>
          <w:rFonts w:hint="eastAsia"/>
          <w:lang w:eastAsia="zh-CN"/>
        </w:rPr>
      </w:pPr>
      <w:r>
        <w:rPr>
          <w:rFonts w:hint="eastAsia"/>
          <w:lang w:val="en-US" w:eastAsia="zh-CN"/>
        </w:rPr>
        <w:t>1.乙方</w:t>
      </w:r>
      <w:r>
        <w:rPr>
          <w:rFonts w:hint="eastAsia"/>
        </w:rPr>
        <w:t>如未实现投标时承诺提前时间</w:t>
      </w:r>
      <w:r>
        <w:rPr>
          <w:rFonts w:hint="eastAsia"/>
          <w:lang w:val="en-US" w:eastAsia="zh-CN"/>
        </w:rPr>
        <w:t>的</w:t>
      </w:r>
      <w:r>
        <w:rPr>
          <w:rFonts w:hint="eastAsia"/>
        </w:rPr>
        <w:t>，</w:t>
      </w:r>
      <w:r>
        <w:rPr>
          <w:rFonts w:hint="eastAsia"/>
          <w:lang w:val="en-US" w:eastAsia="zh-CN"/>
        </w:rPr>
        <w:t>应按中标金额的5%向甲方偿付</w:t>
      </w:r>
      <w:r>
        <w:rPr>
          <w:rFonts w:hint="eastAsia"/>
        </w:rPr>
        <w:t>违约金</w:t>
      </w:r>
      <w:r>
        <w:rPr>
          <w:rFonts w:hint="eastAsia"/>
          <w:lang w:eastAsia="zh-CN"/>
        </w:rPr>
        <w:t>；</w:t>
      </w:r>
    </w:p>
    <w:p>
      <w:pPr>
        <w:pStyle w:val="7"/>
        <w:spacing w:before="3" w:line="357" w:lineRule="auto"/>
        <w:ind w:right="291"/>
        <w:rPr>
          <w:rFonts w:hint="default"/>
          <w:lang w:val="en-US" w:eastAsia="zh-CN"/>
        </w:rPr>
      </w:pPr>
      <w:r>
        <w:rPr>
          <w:rFonts w:hint="eastAsia"/>
          <w:lang w:val="en-US" w:eastAsia="zh-CN"/>
        </w:rPr>
        <w:t>如乙方服务期限超过</w:t>
      </w:r>
      <w:r>
        <w:rPr>
          <w:rFonts w:hint="eastAsia"/>
        </w:rPr>
        <w:t>合同签订后15个自然日</w:t>
      </w:r>
      <w:r>
        <w:rPr>
          <w:rFonts w:hint="eastAsia"/>
          <w:lang w:val="en-US" w:eastAsia="zh-CN"/>
        </w:rPr>
        <w:t>的，应向甲方偿付拖期损失费，拖延延一天时间扣35%的履约保证金，拖延2天扣70%的履约保证金，拖延3天扣100%的履约保证金。</w:t>
      </w:r>
    </w:p>
    <w:p>
      <w:pPr>
        <w:pStyle w:val="7"/>
        <w:spacing w:line="374" w:lineRule="auto"/>
        <w:ind w:right="293" w:firstLine="546" w:firstLineChars="300"/>
        <w:rPr>
          <w:rFonts w:cs="Times New Roman"/>
        </w:rPr>
      </w:pPr>
      <w:r>
        <w:rPr>
          <w:rFonts w:hint="eastAsia"/>
          <w:spacing w:val="-14"/>
          <w:lang w:val="en-US" w:eastAsia="zh-CN"/>
        </w:rPr>
        <w:t>3</w:t>
      </w:r>
      <w:r>
        <w:rPr>
          <w:rFonts w:hint="eastAsia"/>
          <w:spacing w:val="-14"/>
        </w:rPr>
        <w:t>．乙方提供的成果质量不合格，乙方应负责无偿给予返工直至合格以上。返工时间视作拖延工期</w:t>
      </w:r>
      <w:r>
        <w:rPr>
          <w:rFonts w:hint="eastAsia"/>
          <w:spacing w:val="-3"/>
        </w:rPr>
        <w:t>（</w:t>
      </w:r>
      <w:r>
        <w:rPr>
          <w:rFonts w:hint="eastAsia"/>
        </w:rPr>
        <w:t>甲</w:t>
      </w:r>
      <w:r>
        <w:rPr>
          <w:rFonts w:hint="eastAsia"/>
          <w:spacing w:val="-2"/>
        </w:rPr>
        <w:t>方同意除外</w:t>
      </w:r>
      <w:r>
        <w:rPr>
          <w:rFonts w:hint="eastAsia"/>
        </w:rPr>
        <w:t>）。</w:t>
      </w:r>
    </w:p>
    <w:p>
      <w:pPr>
        <w:pStyle w:val="7"/>
        <w:spacing w:before="71" w:line="446" w:lineRule="auto"/>
        <w:ind w:right="297" w:firstLine="315" w:firstLineChars="150"/>
        <w:rPr>
          <w:rFonts w:cs="Times New Roman"/>
        </w:rPr>
      </w:pPr>
      <w:r>
        <w:rPr>
          <w:rFonts w:hint="eastAsia"/>
          <w:lang w:val="en-US" w:eastAsia="zh-CN"/>
        </w:rPr>
        <w:t>4</w:t>
      </w:r>
      <w:r>
        <w:rPr>
          <w:rFonts w:hint="eastAsia"/>
        </w:rPr>
        <w:t>．对于甲方提供的资料，乙方有义务从国家安全的高度做好资料的保密工作，不得向第三方转让，否则，甲方有权追究乙方因向第三方转让所造成的同等成果造成的经济损失的责任。</w:t>
      </w:r>
    </w:p>
    <w:p>
      <w:pPr>
        <w:pStyle w:val="7"/>
        <w:spacing w:before="71" w:line="446" w:lineRule="auto"/>
        <w:ind w:right="297" w:firstLine="315" w:firstLineChars="150"/>
        <w:rPr>
          <w:rFonts w:cs="Times New Roman"/>
        </w:rPr>
      </w:pPr>
      <w:r>
        <w:rPr>
          <w:rFonts w:hint="eastAsia"/>
          <w:lang w:val="en-US" w:eastAsia="zh-CN"/>
        </w:rPr>
        <w:t>5</w:t>
      </w:r>
      <w:r>
        <w:t>.</w:t>
      </w:r>
      <w:r>
        <w:rPr>
          <w:rFonts w:hint="eastAsia"/>
        </w:rPr>
        <w:t>乙方在合同期内出现不遵守《工程造价咨询单位行为准则》和《造价工程师职业道德行为准则》行为、投标人擅自将审核工作转包第三方、重大错项漏项、未按规定时间要求提供服务，甲方可停止其服务资格。</w:t>
      </w:r>
    </w:p>
    <w:p>
      <w:pPr>
        <w:pStyle w:val="5"/>
        <w:spacing w:before="18"/>
        <w:rPr>
          <w:rFonts w:ascii="黑体" w:eastAsia="黑体" w:cs="Times New Roman"/>
        </w:rPr>
      </w:pPr>
      <w:r>
        <w:rPr>
          <w:rFonts w:hint="eastAsia" w:ascii="黑体" w:eastAsia="黑体" w:cs="黑体"/>
        </w:rPr>
        <w:t>六、成果的知识产权及保密</w:t>
      </w:r>
    </w:p>
    <w:p>
      <w:pPr>
        <w:pStyle w:val="7"/>
        <w:spacing w:before="71" w:line="446" w:lineRule="auto"/>
        <w:ind w:right="297" w:firstLine="315" w:firstLineChars="150"/>
        <w:rPr>
          <w:rFonts w:cs="Times New Roman"/>
        </w:rPr>
      </w:pPr>
      <w:r>
        <w:rPr>
          <w:rFonts w:hint="eastAsia"/>
        </w:rPr>
        <w:t>乙方依据本合同向甲方提供的成果，其知识产权属于甲方，乙方作为编制方，应妥善保管上述成果，除可用于本合同约定的用途外，未经甲方同意的，不得向第三方泄露。</w:t>
      </w:r>
    </w:p>
    <w:p>
      <w:pPr>
        <w:pStyle w:val="5"/>
        <w:spacing w:before="3"/>
        <w:rPr>
          <w:rFonts w:ascii="黑体" w:eastAsia="黑体" w:cs="Times New Roman"/>
        </w:rPr>
      </w:pPr>
      <w:r>
        <w:rPr>
          <w:rFonts w:hint="eastAsia" w:ascii="黑体" w:eastAsia="黑体" w:cs="黑体"/>
        </w:rPr>
        <w:t>七、仲裁</w:t>
      </w:r>
    </w:p>
    <w:p>
      <w:pPr>
        <w:pStyle w:val="7"/>
        <w:spacing w:before="171" w:line="391" w:lineRule="auto"/>
        <w:ind w:left="280" w:right="185" w:firstLine="420"/>
        <w:rPr>
          <w:rFonts w:cs="Times New Roman"/>
        </w:rPr>
      </w:pPr>
      <w:r>
        <w:rPr>
          <w:rFonts w:hint="eastAsia"/>
          <w:spacing w:val="-6"/>
        </w:rPr>
        <w:t>本项目合同发生争议，甲方与乙方应及时协商解决。也可由当地建设行政主管部门调解，调解不成时，</w:t>
      </w:r>
      <w:r>
        <w:rPr>
          <w:rFonts w:hint="eastAsia"/>
          <w:spacing w:val="-4"/>
        </w:rPr>
        <w:t>双方当事人同意由南宁市仲裁委员会仲裁或直接向人民法院起诉。</w:t>
      </w:r>
    </w:p>
    <w:p>
      <w:pPr>
        <w:pStyle w:val="5"/>
        <w:spacing w:before="4"/>
        <w:rPr>
          <w:rFonts w:ascii="黑体" w:eastAsia="黑体" w:cs="Times New Roman"/>
        </w:rPr>
      </w:pPr>
      <w:r>
        <w:rPr>
          <w:rFonts w:hint="eastAsia" w:ascii="黑体" w:eastAsia="黑体" w:cs="黑体"/>
        </w:rPr>
        <w:t>八、签订本合同所依据的文件</w:t>
      </w:r>
    </w:p>
    <w:p>
      <w:pPr>
        <w:pStyle w:val="7"/>
        <w:spacing w:before="170"/>
        <w:ind w:left="700"/>
        <w:rPr>
          <w:rFonts w:cs="Times New Roman"/>
        </w:rPr>
      </w:pPr>
      <w:r>
        <w:t>1</w:t>
      </w:r>
      <w:r>
        <w:rPr>
          <w:rFonts w:hint="eastAsia"/>
        </w:rPr>
        <w:t>、招标文件；</w:t>
      </w:r>
      <w:r>
        <w:t>2</w:t>
      </w:r>
      <w:r>
        <w:rPr>
          <w:rFonts w:hint="eastAsia"/>
        </w:rPr>
        <w:t>、乙方提供的投标文件；</w:t>
      </w:r>
      <w:r>
        <w:t>3</w:t>
      </w:r>
      <w:r>
        <w:rPr>
          <w:rFonts w:hint="eastAsia"/>
        </w:rPr>
        <w:t>、投标承诺书；</w:t>
      </w:r>
      <w:r>
        <w:t>4</w:t>
      </w:r>
      <w:r>
        <w:rPr>
          <w:rFonts w:hint="eastAsia"/>
        </w:rPr>
        <w:t>、中标或成交通知书。</w:t>
      </w:r>
    </w:p>
    <w:p>
      <w:pPr>
        <w:pStyle w:val="5"/>
        <w:spacing w:before="170"/>
        <w:rPr>
          <w:rFonts w:ascii="黑体" w:eastAsia="黑体" w:cs="Times New Roman"/>
        </w:rPr>
      </w:pPr>
      <w:r>
        <w:rPr>
          <w:rFonts w:hint="eastAsia" w:ascii="黑体" w:eastAsia="黑体" w:cs="黑体"/>
        </w:rPr>
        <w:t>九、合同生效及其他</w:t>
      </w:r>
    </w:p>
    <w:p>
      <w:pPr>
        <w:pStyle w:val="7"/>
        <w:spacing w:before="71" w:line="446" w:lineRule="auto"/>
        <w:ind w:right="297" w:firstLine="525" w:firstLineChars="250"/>
        <w:rPr>
          <w:rFonts w:cs="Times New Roman"/>
        </w:rPr>
      </w:pPr>
      <w:r>
        <w:rPr>
          <w:rFonts w:hint="eastAsia"/>
        </w:rPr>
        <w:t>本合同甲乙双方签字盖章后生效，本合同一式陆份，具有同等法律效力，甲、乙双方各三份。</w:t>
      </w:r>
    </w:p>
    <w:tbl>
      <w:tblPr>
        <w:tblStyle w:val="16"/>
        <w:tblW w:w="9323"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80"/>
        <w:gridCol w:w="46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1" w:hRule="atLeast"/>
        </w:trPr>
        <w:tc>
          <w:tcPr>
            <w:tcW w:w="4680" w:type="dxa"/>
          </w:tcPr>
          <w:p>
            <w:pPr>
              <w:pStyle w:val="40"/>
              <w:spacing w:before="166"/>
              <w:ind w:left="107"/>
              <w:rPr>
                <w:rFonts w:cs="Times New Roman"/>
                <w:sz w:val="21"/>
                <w:szCs w:val="21"/>
                <w:lang w:val="en-US"/>
              </w:rPr>
            </w:pPr>
            <w:r>
              <w:rPr>
                <w:rFonts w:hint="eastAsia"/>
                <w:sz w:val="21"/>
                <w:szCs w:val="21"/>
              </w:rPr>
              <w:t>甲方（章）</w:t>
            </w:r>
            <w:r>
              <w:rPr>
                <w:rFonts w:hint="eastAsia"/>
                <w:b/>
                <w:bCs/>
              </w:rPr>
              <w:t>广西交通职业技术学院</w:t>
            </w:r>
          </w:p>
          <w:p>
            <w:pPr>
              <w:pStyle w:val="40"/>
              <w:spacing w:before="166"/>
              <w:ind w:left="107" w:leftChars="51" w:firstLine="2730" w:firstLineChars="1300"/>
              <w:rPr>
                <w:rFonts w:cs="Times New Roman"/>
                <w:sz w:val="21"/>
                <w:szCs w:val="21"/>
                <w:lang w:val="en-US"/>
              </w:rPr>
            </w:pPr>
            <w:r>
              <w:rPr>
                <w:rFonts w:hint="eastAsia"/>
                <w:sz w:val="21"/>
                <w:szCs w:val="21"/>
              </w:rPr>
              <w:t>年</w:t>
            </w:r>
            <w:r>
              <w:rPr>
                <w:rFonts w:cs="Times New Roman"/>
                <w:sz w:val="21"/>
                <w:szCs w:val="21"/>
              </w:rPr>
              <w:tab/>
            </w:r>
            <w:r>
              <w:rPr>
                <w:rFonts w:hint="eastAsia"/>
                <w:sz w:val="21"/>
                <w:szCs w:val="21"/>
              </w:rPr>
              <w:t>月</w:t>
            </w:r>
            <w:r>
              <w:rPr>
                <w:rFonts w:cs="Times New Roman"/>
                <w:sz w:val="21"/>
                <w:szCs w:val="21"/>
              </w:rPr>
              <w:tab/>
            </w:r>
            <w:r>
              <w:rPr>
                <w:rFonts w:hint="eastAsia"/>
                <w:sz w:val="21"/>
                <w:szCs w:val="21"/>
              </w:rPr>
              <w:t>日</w:t>
            </w:r>
          </w:p>
        </w:tc>
        <w:tc>
          <w:tcPr>
            <w:tcW w:w="4643" w:type="dxa"/>
          </w:tcPr>
          <w:p>
            <w:pPr>
              <w:pStyle w:val="40"/>
              <w:spacing w:before="166"/>
              <w:ind w:left="108"/>
              <w:rPr>
                <w:rFonts w:cs="Times New Roman"/>
                <w:sz w:val="21"/>
                <w:szCs w:val="21"/>
              </w:rPr>
            </w:pPr>
            <w:r>
              <w:rPr>
                <w:rFonts w:hint="eastAsia"/>
                <w:sz w:val="21"/>
                <w:szCs w:val="21"/>
              </w:rPr>
              <w:t>乙方（章）</w:t>
            </w:r>
          </w:p>
          <w:p>
            <w:pPr>
              <w:pStyle w:val="40"/>
              <w:tabs>
                <w:tab w:val="left" w:pos="3552"/>
                <w:tab w:val="left" w:pos="4078"/>
              </w:tabs>
              <w:spacing w:before="132"/>
              <w:ind w:left="3027"/>
              <w:rPr>
                <w:rFonts w:cs="Times New Roman"/>
                <w:sz w:val="21"/>
                <w:szCs w:val="21"/>
              </w:rPr>
            </w:pPr>
            <w:r>
              <w:rPr>
                <w:rFonts w:hint="eastAsia"/>
                <w:sz w:val="21"/>
                <w:szCs w:val="21"/>
              </w:rPr>
              <w:t>年</w:t>
            </w:r>
            <w:r>
              <w:rPr>
                <w:rFonts w:cs="Times New Roman"/>
                <w:sz w:val="21"/>
                <w:szCs w:val="21"/>
              </w:rPr>
              <w:tab/>
            </w:r>
            <w:r>
              <w:rPr>
                <w:rFonts w:hint="eastAsia"/>
                <w:sz w:val="21"/>
                <w:szCs w:val="21"/>
              </w:rPr>
              <w:t>月</w:t>
            </w:r>
            <w:r>
              <w:rPr>
                <w:rFonts w:cs="Times New Roman"/>
                <w:sz w:val="21"/>
                <w:szCs w:val="21"/>
              </w:rPr>
              <w:tab/>
            </w:r>
            <w:r>
              <w:rPr>
                <w:rFonts w:hint="eastAsia"/>
                <w:sz w:val="21"/>
                <w:szCs w:val="21"/>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4680" w:type="dxa"/>
          </w:tcPr>
          <w:p>
            <w:pPr>
              <w:pStyle w:val="40"/>
              <w:spacing w:before="1"/>
              <w:rPr>
                <w:rFonts w:cs="Times New Roman"/>
                <w:sz w:val="15"/>
                <w:szCs w:val="15"/>
              </w:rPr>
            </w:pPr>
          </w:p>
          <w:p>
            <w:pPr>
              <w:pStyle w:val="40"/>
              <w:ind w:left="107"/>
              <w:rPr>
                <w:rFonts w:cs="Times New Roman"/>
                <w:sz w:val="21"/>
                <w:szCs w:val="21"/>
              </w:rPr>
            </w:pPr>
            <w:r>
              <w:rPr>
                <w:rFonts w:hint="eastAsia"/>
                <w:sz w:val="21"/>
                <w:szCs w:val="21"/>
              </w:rPr>
              <w:t>单位地址：</w:t>
            </w:r>
          </w:p>
        </w:tc>
        <w:tc>
          <w:tcPr>
            <w:tcW w:w="4643" w:type="dxa"/>
          </w:tcPr>
          <w:p>
            <w:pPr>
              <w:pStyle w:val="40"/>
              <w:spacing w:before="1"/>
              <w:rPr>
                <w:rFonts w:cs="Times New Roman"/>
                <w:sz w:val="15"/>
                <w:szCs w:val="15"/>
              </w:rPr>
            </w:pPr>
          </w:p>
          <w:p>
            <w:pPr>
              <w:pStyle w:val="40"/>
              <w:ind w:left="108"/>
              <w:rPr>
                <w:rFonts w:cs="Times New Roman"/>
                <w:sz w:val="21"/>
                <w:szCs w:val="21"/>
              </w:rPr>
            </w:pPr>
            <w:r>
              <w:rPr>
                <w:rFonts w:hint="eastAsia"/>
                <w:sz w:val="21"/>
                <w:szCs w:val="21"/>
              </w:rPr>
              <w:t>单位地址：</w:t>
            </w:r>
            <w:r>
              <w:rPr>
                <w:sz w:val="21"/>
                <w:szCs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4680" w:type="dxa"/>
          </w:tcPr>
          <w:p>
            <w:pPr>
              <w:pStyle w:val="40"/>
              <w:spacing w:before="142"/>
              <w:ind w:left="107"/>
              <w:rPr>
                <w:rFonts w:cs="Times New Roman"/>
                <w:sz w:val="21"/>
                <w:szCs w:val="21"/>
              </w:rPr>
            </w:pPr>
            <w:r>
              <w:rPr>
                <w:rFonts w:hint="eastAsia"/>
                <w:sz w:val="21"/>
                <w:szCs w:val="21"/>
              </w:rPr>
              <w:t>法定代表人：</w:t>
            </w:r>
          </w:p>
        </w:tc>
        <w:tc>
          <w:tcPr>
            <w:tcW w:w="4643" w:type="dxa"/>
          </w:tcPr>
          <w:p>
            <w:pPr>
              <w:pStyle w:val="40"/>
              <w:spacing w:before="142"/>
              <w:ind w:left="108"/>
              <w:rPr>
                <w:rFonts w:cs="Times New Roman"/>
                <w:sz w:val="21"/>
                <w:szCs w:val="21"/>
              </w:rPr>
            </w:pPr>
            <w:r>
              <w:rPr>
                <w:rFonts w:hint="eastAsia"/>
                <w:sz w:val="21"/>
                <w:szCs w:val="21"/>
              </w:rPr>
              <w:t>法定代表人：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8" w:hRule="atLeast"/>
        </w:trPr>
        <w:tc>
          <w:tcPr>
            <w:tcW w:w="4680" w:type="dxa"/>
          </w:tcPr>
          <w:p>
            <w:pPr>
              <w:pStyle w:val="40"/>
              <w:spacing w:before="3"/>
              <w:rPr>
                <w:rFonts w:cs="Times New Roman"/>
                <w:sz w:val="24"/>
                <w:szCs w:val="24"/>
              </w:rPr>
            </w:pPr>
          </w:p>
          <w:p>
            <w:pPr>
              <w:pStyle w:val="40"/>
              <w:tabs>
                <w:tab w:val="left" w:pos="3154"/>
                <w:tab w:val="left" w:pos="3574"/>
                <w:tab w:val="left" w:pos="3994"/>
              </w:tabs>
              <w:ind w:left="107"/>
              <w:rPr>
                <w:rFonts w:cs="Times New Roman"/>
                <w:sz w:val="21"/>
                <w:szCs w:val="21"/>
              </w:rPr>
            </w:pPr>
            <w:r>
              <w:rPr>
                <w:rFonts w:hint="eastAsia"/>
                <w:sz w:val="21"/>
                <w:szCs w:val="21"/>
              </w:rPr>
              <w:t>委托</w:t>
            </w:r>
            <w:r>
              <w:rPr>
                <w:rFonts w:hint="eastAsia"/>
                <w:spacing w:val="-3"/>
                <w:sz w:val="21"/>
                <w:szCs w:val="21"/>
              </w:rPr>
              <w:t>代</w:t>
            </w:r>
            <w:r>
              <w:rPr>
                <w:rFonts w:hint="eastAsia"/>
                <w:sz w:val="21"/>
                <w:szCs w:val="21"/>
              </w:rPr>
              <w:t>理</w:t>
            </w:r>
            <w:r>
              <w:rPr>
                <w:rFonts w:hint="eastAsia"/>
                <w:spacing w:val="-3"/>
                <w:sz w:val="21"/>
                <w:szCs w:val="21"/>
              </w:rPr>
              <w:t>人</w:t>
            </w:r>
            <w:r>
              <w:rPr>
                <w:rFonts w:hint="eastAsia"/>
                <w:sz w:val="21"/>
                <w:szCs w:val="21"/>
              </w:rPr>
              <w:t>：</w:t>
            </w:r>
            <w:r>
              <w:rPr>
                <w:rFonts w:cs="Times New Roman"/>
                <w:sz w:val="21"/>
                <w:szCs w:val="21"/>
              </w:rPr>
              <w:tab/>
            </w:r>
            <w:r>
              <w:rPr>
                <w:rFonts w:hint="eastAsia"/>
                <w:sz w:val="21"/>
                <w:szCs w:val="21"/>
              </w:rPr>
              <w:t>年</w:t>
            </w:r>
            <w:r>
              <w:rPr>
                <w:rFonts w:cs="Times New Roman"/>
                <w:sz w:val="21"/>
                <w:szCs w:val="21"/>
              </w:rPr>
              <w:tab/>
            </w:r>
            <w:r>
              <w:rPr>
                <w:rFonts w:hint="eastAsia"/>
                <w:sz w:val="21"/>
                <w:szCs w:val="21"/>
              </w:rPr>
              <w:t>月</w:t>
            </w:r>
            <w:r>
              <w:rPr>
                <w:rFonts w:cs="Times New Roman"/>
                <w:sz w:val="21"/>
                <w:szCs w:val="21"/>
              </w:rPr>
              <w:tab/>
            </w:r>
            <w:r>
              <w:rPr>
                <w:rFonts w:hint="eastAsia"/>
                <w:sz w:val="21"/>
                <w:szCs w:val="21"/>
              </w:rPr>
              <w:t>日</w:t>
            </w:r>
          </w:p>
        </w:tc>
        <w:tc>
          <w:tcPr>
            <w:tcW w:w="4643" w:type="dxa"/>
          </w:tcPr>
          <w:p>
            <w:pPr>
              <w:pStyle w:val="40"/>
              <w:tabs>
                <w:tab w:val="left" w:pos="3615"/>
                <w:tab w:val="left" w:pos="4078"/>
              </w:tabs>
              <w:spacing w:before="111"/>
              <w:ind w:left="108"/>
              <w:rPr>
                <w:rFonts w:cs="Times New Roman"/>
                <w:sz w:val="21"/>
                <w:szCs w:val="21"/>
              </w:rPr>
            </w:pPr>
            <w:r>
              <w:rPr>
                <w:rFonts w:hint="eastAsia"/>
                <w:spacing w:val="14"/>
                <w:sz w:val="21"/>
                <w:szCs w:val="21"/>
              </w:rPr>
              <w:t>委托代</w:t>
            </w:r>
            <w:r>
              <w:rPr>
                <w:rFonts w:hint="eastAsia"/>
                <w:spacing w:val="11"/>
                <w:sz w:val="21"/>
                <w:szCs w:val="21"/>
              </w:rPr>
              <w:t>理</w:t>
            </w:r>
            <w:r>
              <w:rPr>
                <w:rFonts w:hint="eastAsia"/>
                <w:spacing w:val="14"/>
                <w:sz w:val="21"/>
                <w:szCs w:val="21"/>
              </w:rPr>
              <w:t>人</w:t>
            </w:r>
            <w:r>
              <w:rPr>
                <w:rFonts w:hint="eastAsia"/>
                <w:sz w:val="21"/>
                <w:szCs w:val="21"/>
              </w:rPr>
              <w:t>：</w:t>
            </w:r>
            <w:r>
              <w:rPr>
                <w:rFonts w:cs="Times New Roman"/>
                <w:sz w:val="21"/>
                <w:szCs w:val="21"/>
              </w:rPr>
              <w:tab/>
            </w:r>
          </w:p>
          <w:p>
            <w:pPr>
              <w:pStyle w:val="40"/>
              <w:tabs>
                <w:tab w:val="left" w:pos="3615"/>
                <w:tab w:val="left" w:pos="4078"/>
              </w:tabs>
              <w:spacing w:before="111"/>
              <w:ind w:left="108" w:firstLine="2730" w:firstLineChars="1300"/>
              <w:rPr>
                <w:rFonts w:cs="Times New Roman"/>
                <w:sz w:val="21"/>
                <w:szCs w:val="21"/>
              </w:rPr>
            </w:pPr>
            <w:r>
              <w:rPr>
                <w:rFonts w:hint="eastAsia"/>
                <w:sz w:val="21"/>
                <w:szCs w:val="21"/>
              </w:rPr>
              <w:t>年月日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4680" w:type="dxa"/>
          </w:tcPr>
          <w:p>
            <w:pPr>
              <w:pStyle w:val="40"/>
              <w:spacing w:before="111"/>
              <w:ind w:left="107"/>
              <w:rPr>
                <w:rFonts w:cs="Times New Roman"/>
                <w:sz w:val="21"/>
                <w:szCs w:val="21"/>
              </w:rPr>
            </w:pPr>
            <w:r>
              <w:rPr>
                <w:rFonts w:hint="eastAsia"/>
                <w:sz w:val="21"/>
                <w:szCs w:val="21"/>
              </w:rPr>
              <w:t>电话：</w:t>
            </w:r>
          </w:p>
        </w:tc>
        <w:tc>
          <w:tcPr>
            <w:tcW w:w="4643" w:type="dxa"/>
            <w:vAlign w:val="center"/>
          </w:tcPr>
          <w:p>
            <w:pPr>
              <w:pStyle w:val="40"/>
              <w:spacing w:before="111"/>
              <w:ind w:left="108"/>
              <w:jc w:val="both"/>
              <w:rPr>
                <w:rFonts w:cs="Times New Roman"/>
                <w:sz w:val="21"/>
                <w:szCs w:val="21"/>
                <w:lang w:val="en-US"/>
              </w:rPr>
            </w:pPr>
            <w:r>
              <w:rPr>
                <w:rFonts w:hint="eastAsia"/>
                <w:sz w:val="21"/>
                <w:szCs w:val="21"/>
              </w:rPr>
              <w:t>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4680" w:type="dxa"/>
          </w:tcPr>
          <w:p>
            <w:pPr>
              <w:pStyle w:val="40"/>
              <w:rPr>
                <w:rFonts w:ascii="Times New Roman" w:cs="Times New Roman"/>
                <w:sz w:val="20"/>
                <w:szCs w:val="20"/>
              </w:rPr>
            </w:pPr>
          </w:p>
        </w:tc>
        <w:tc>
          <w:tcPr>
            <w:tcW w:w="4643" w:type="dxa"/>
            <w:vAlign w:val="center"/>
          </w:tcPr>
          <w:p>
            <w:pPr>
              <w:pStyle w:val="40"/>
              <w:ind w:left="108"/>
              <w:jc w:val="both"/>
              <w:rPr>
                <w:rFonts w:cs="Times New Roman"/>
                <w:sz w:val="21"/>
                <w:szCs w:val="21"/>
              </w:rPr>
            </w:pPr>
            <w:r>
              <w:rPr>
                <w:rFonts w:hint="eastAsia"/>
                <w:sz w:val="21"/>
                <w:szCs w:val="21"/>
              </w:rPr>
              <w:t>开户银行：</w:t>
            </w:r>
            <w:r>
              <w:rPr>
                <w:sz w:val="21"/>
                <w:szCs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4680" w:type="dxa"/>
          </w:tcPr>
          <w:p>
            <w:pPr>
              <w:pStyle w:val="40"/>
              <w:rPr>
                <w:rFonts w:ascii="Times New Roman" w:cs="Times New Roman"/>
                <w:sz w:val="20"/>
                <w:szCs w:val="20"/>
              </w:rPr>
            </w:pPr>
          </w:p>
        </w:tc>
        <w:tc>
          <w:tcPr>
            <w:tcW w:w="4643" w:type="dxa"/>
            <w:vAlign w:val="center"/>
          </w:tcPr>
          <w:p>
            <w:pPr>
              <w:pStyle w:val="40"/>
              <w:spacing w:before="1"/>
              <w:ind w:left="108"/>
              <w:jc w:val="both"/>
              <w:rPr>
                <w:rFonts w:cs="Times New Roman"/>
                <w:sz w:val="21"/>
                <w:szCs w:val="21"/>
              </w:rPr>
            </w:pPr>
            <w:r>
              <w:rPr>
                <w:rFonts w:hint="eastAsia"/>
                <w:sz w:val="21"/>
                <w:szCs w:val="21"/>
              </w:rPr>
              <w:t>账号：</w:t>
            </w:r>
            <w:r>
              <w:rPr>
                <w:sz w:val="21"/>
                <w:szCs w:val="21"/>
              </w:rPr>
              <w:t xml:space="preserve"> </w:t>
            </w:r>
          </w:p>
        </w:tc>
      </w:tr>
    </w:tbl>
    <w:p>
      <w:pPr>
        <w:rPr>
          <w:rFonts w:cs="Times New Roman"/>
        </w:rPr>
      </w:pPr>
    </w:p>
    <w:p>
      <w:pPr>
        <w:ind w:left="3636"/>
        <w:rPr>
          <w:rFonts w:cs="Times New Roman"/>
          <w:b/>
          <w:bCs/>
          <w:sz w:val="24"/>
          <w:szCs w:val="24"/>
        </w:rPr>
      </w:pPr>
    </w:p>
    <w:p>
      <w:pPr>
        <w:rPr>
          <w:rFonts w:cs="Times New Roman"/>
          <w:b/>
          <w:bCs/>
          <w:sz w:val="24"/>
          <w:szCs w:val="24"/>
        </w:rPr>
      </w:pPr>
      <w:r>
        <w:rPr>
          <w:rFonts w:hint="eastAsia" w:cs="宋体"/>
          <w:b/>
          <w:bCs/>
          <w:sz w:val="24"/>
          <w:szCs w:val="24"/>
        </w:rPr>
        <w:t>附表：投入项目服务人员配备情况表</w:t>
      </w:r>
    </w:p>
    <w:p>
      <w:pPr>
        <w:rPr>
          <w:rFonts w:cs="Times New Roman"/>
          <w:b/>
          <w:bCs/>
          <w:sz w:val="24"/>
          <w:szCs w:val="24"/>
        </w:rPr>
      </w:pPr>
    </w:p>
    <w:tbl>
      <w:tblPr>
        <w:tblStyle w:val="16"/>
        <w:tblW w:w="932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5"/>
        <w:gridCol w:w="1079"/>
        <w:gridCol w:w="1814"/>
        <w:gridCol w:w="1445"/>
        <w:gridCol w:w="2536"/>
        <w:gridCol w:w="17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675" w:type="dxa"/>
          </w:tcPr>
          <w:p>
            <w:pPr>
              <w:pStyle w:val="40"/>
              <w:spacing w:before="90"/>
              <w:ind w:left="95" w:right="88"/>
              <w:jc w:val="center"/>
              <w:rPr>
                <w:rFonts w:cs="Times New Roman"/>
                <w:b/>
                <w:bCs/>
              </w:rPr>
            </w:pPr>
            <w:r>
              <w:rPr>
                <w:rFonts w:hint="eastAsia"/>
                <w:b/>
                <w:bCs/>
              </w:rPr>
              <w:t>序号</w:t>
            </w:r>
          </w:p>
        </w:tc>
        <w:tc>
          <w:tcPr>
            <w:tcW w:w="1079" w:type="dxa"/>
          </w:tcPr>
          <w:p>
            <w:pPr>
              <w:pStyle w:val="40"/>
              <w:spacing w:before="90"/>
              <w:ind w:left="188" w:right="178"/>
              <w:jc w:val="center"/>
              <w:rPr>
                <w:rFonts w:cs="Times New Roman"/>
                <w:b/>
                <w:bCs/>
              </w:rPr>
            </w:pPr>
            <w:r>
              <w:rPr>
                <w:rFonts w:hint="eastAsia"/>
                <w:b/>
                <w:bCs/>
              </w:rPr>
              <w:t>姓名</w:t>
            </w:r>
          </w:p>
        </w:tc>
        <w:tc>
          <w:tcPr>
            <w:tcW w:w="1814" w:type="dxa"/>
          </w:tcPr>
          <w:p>
            <w:pPr>
              <w:pStyle w:val="40"/>
              <w:spacing w:before="90"/>
              <w:ind w:left="116" w:right="104"/>
              <w:jc w:val="center"/>
              <w:rPr>
                <w:rFonts w:cs="Times New Roman"/>
                <w:b/>
                <w:bCs/>
              </w:rPr>
            </w:pPr>
            <w:r>
              <w:rPr>
                <w:rFonts w:hint="eastAsia"/>
                <w:b/>
                <w:bCs/>
              </w:rPr>
              <w:t>专业技术资格</w:t>
            </w:r>
          </w:p>
        </w:tc>
        <w:tc>
          <w:tcPr>
            <w:tcW w:w="1445" w:type="dxa"/>
          </w:tcPr>
          <w:p>
            <w:pPr>
              <w:pStyle w:val="40"/>
              <w:spacing w:before="90"/>
              <w:ind w:left="152" w:right="140"/>
              <w:jc w:val="center"/>
              <w:rPr>
                <w:rFonts w:cs="Times New Roman"/>
                <w:b/>
                <w:bCs/>
              </w:rPr>
            </w:pPr>
            <w:r>
              <w:rPr>
                <w:rFonts w:hint="eastAsia"/>
                <w:b/>
                <w:bCs/>
              </w:rPr>
              <w:t>职称</w:t>
            </w:r>
          </w:p>
        </w:tc>
        <w:tc>
          <w:tcPr>
            <w:tcW w:w="2536" w:type="dxa"/>
          </w:tcPr>
          <w:p>
            <w:pPr>
              <w:pStyle w:val="40"/>
              <w:spacing w:before="90"/>
              <w:ind w:left="258" w:right="248"/>
              <w:jc w:val="center"/>
              <w:rPr>
                <w:rFonts w:cs="Times New Roman"/>
                <w:b/>
                <w:bCs/>
              </w:rPr>
            </w:pPr>
            <w:r>
              <w:rPr>
                <w:rFonts w:hint="eastAsia"/>
                <w:b/>
                <w:bCs/>
              </w:rPr>
              <w:t>身份证号</w:t>
            </w:r>
          </w:p>
        </w:tc>
        <w:tc>
          <w:tcPr>
            <w:tcW w:w="1776" w:type="dxa"/>
          </w:tcPr>
          <w:p>
            <w:pPr>
              <w:pStyle w:val="40"/>
              <w:spacing w:before="90"/>
              <w:ind w:left="96" w:right="83"/>
              <w:jc w:val="center"/>
              <w:rPr>
                <w:rFonts w:cs="Times New Roman"/>
                <w:b/>
                <w:bCs/>
              </w:rPr>
            </w:pPr>
            <w:r>
              <w:rPr>
                <w:rFonts w:hint="eastAsia"/>
                <w:b/>
                <w:bCs/>
              </w:rPr>
              <w:t>拟在本项目任职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675" w:type="dxa"/>
          </w:tcPr>
          <w:p>
            <w:pPr>
              <w:pStyle w:val="40"/>
              <w:spacing w:before="91"/>
              <w:ind w:left="7"/>
              <w:jc w:val="center"/>
            </w:pPr>
            <w:r>
              <w:t>1</w:t>
            </w:r>
          </w:p>
        </w:tc>
        <w:tc>
          <w:tcPr>
            <w:tcW w:w="1079" w:type="dxa"/>
          </w:tcPr>
          <w:p>
            <w:pPr>
              <w:pStyle w:val="40"/>
              <w:spacing w:before="91"/>
              <w:ind w:left="188" w:right="178"/>
              <w:jc w:val="center"/>
              <w:rPr>
                <w:rFonts w:cs="Times New Roman"/>
              </w:rPr>
            </w:pPr>
          </w:p>
        </w:tc>
        <w:tc>
          <w:tcPr>
            <w:tcW w:w="1814" w:type="dxa"/>
          </w:tcPr>
          <w:p>
            <w:pPr>
              <w:pStyle w:val="40"/>
              <w:spacing w:before="91"/>
              <w:ind w:left="116" w:right="107"/>
              <w:jc w:val="center"/>
              <w:rPr>
                <w:rFonts w:cs="Times New Roman"/>
              </w:rPr>
            </w:pPr>
          </w:p>
        </w:tc>
        <w:tc>
          <w:tcPr>
            <w:tcW w:w="1445" w:type="dxa"/>
          </w:tcPr>
          <w:p>
            <w:pPr>
              <w:pStyle w:val="40"/>
              <w:spacing w:before="91"/>
              <w:ind w:left="152" w:right="143"/>
              <w:rPr>
                <w:rFonts w:cs="Times New Roman"/>
              </w:rPr>
            </w:pPr>
          </w:p>
        </w:tc>
        <w:tc>
          <w:tcPr>
            <w:tcW w:w="2536" w:type="dxa"/>
          </w:tcPr>
          <w:p>
            <w:pPr>
              <w:pStyle w:val="40"/>
              <w:spacing w:before="91"/>
              <w:ind w:left="258" w:right="248"/>
              <w:jc w:val="center"/>
              <w:rPr>
                <w:rFonts w:cs="Times New Roman"/>
              </w:rPr>
            </w:pPr>
          </w:p>
        </w:tc>
        <w:tc>
          <w:tcPr>
            <w:tcW w:w="1776" w:type="dxa"/>
          </w:tcPr>
          <w:p>
            <w:pPr>
              <w:pStyle w:val="40"/>
              <w:spacing w:before="91"/>
              <w:ind w:left="94" w:right="83"/>
              <w:jc w:val="center"/>
              <w:rPr>
                <w:rFonts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675" w:type="dxa"/>
          </w:tcPr>
          <w:p>
            <w:pPr>
              <w:pStyle w:val="40"/>
              <w:spacing w:before="92"/>
              <w:ind w:left="7"/>
              <w:jc w:val="center"/>
            </w:pPr>
            <w:r>
              <w:t>2</w:t>
            </w:r>
          </w:p>
        </w:tc>
        <w:tc>
          <w:tcPr>
            <w:tcW w:w="1079" w:type="dxa"/>
          </w:tcPr>
          <w:p>
            <w:pPr>
              <w:pStyle w:val="40"/>
              <w:spacing w:before="92"/>
              <w:ind w:left="188" w:right="178"/>
              <w:jc w:val="center"/>
              <w:rPr>
                <w:rFonts w:cs="Times New Roman"/>
              </w:rPr>
            </w:pPr>
          </w:p>
        </w:tc>
        <w:tc>
          <w:tcPr>
            <w:tcW w:w="1814" w:type="dxa"/>
          </w:tcPr>
          <w:p>
            <w:pPr>
              <w:pStyle w:val="40"/>
              <w:spacing w:before="92"/>
              <w:ind w:right="107"/>
              <w:rPr>
                <w:rFonts w:cs="Times New Roman"/>
              </w:rPr>
            </w:pPr>
          </w:p>
        </w:tc>
        <w:tc>
          <w:tcPr>
            <w:tcW w:w="1445" w:type="dxa"/>
          </w:tcPr>
          <w:p>
            <w:pPr>
              <w:pStyle w:val="40"/>
              <w:spacing w:before="92"/>
              <w:ind w:left="152" w:right="143"/>
              <w:jc w:val="center"/>
              <w:rPr>
                <w:rFonts w:cs="Times New Roman"/>
              </w:rPr>
            </w:pPr>
          </w:p>
        </w:tc>
        <w:tc>
          <w:tcPr>
            <w:tcW w:w="2536" w:type="dxa"/>
          </w:tcPr>
          <w:p>
            <w:pPr>
              <w:pStyle w:val="40"/>
              <w:spacing w:before="92"/>
              <w:ind w:left="258" w:right="248"/>
              <w:jc w:val="center"/>
              <w:rPr>
                <w:rFonts w:cs="Times New Roman"/>
              </w:rPr>
            </w:pPr>
          </w:p>
        </w:tc>
        <w:tc>
          <w:tcPr>
            <w:tcW w:w="1776" w:type="dxa"/>
          </w:tcPr>
          <w:p>
            <w:pPr>
              <w:pStyle w:val="40"/>
              <w:spacing w:before="92"/>
              <w:ind w:left="94" w:right="83"/>
              <w:rPr>
                <w:rFonts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675" w:type="dxa"/>
          </w:tcPr>
          <w:p>
            <w:pPr>
              <w:pStyle w:val="40"/>
              <w:spacing w:before="90"/>
              <w:ind w:left="7"/>
              <w:jc w:val="center"/>
            </w:pPr>
            <w:r>
              <w:t>3</w:t>
            </w:r>
          </w:p>
        </w:tc>
        <w:tc>
          <w:tcPr>
            <w:tcW w:w="1079" w:type="dxa"/>
          </w:tcPr>
          <w:p>
            <w:pPr>
              <w:pStyle w:val="40"/>
              <w:spacing w:before="90"/>
              <w:ind w:left="188" w:right="178"/>
              <w:jc w:val="center"/>
              <w:rPr>
                <w:rFonts w:cs="Times New Roman"/>
              </w:rPr>
            </w:pPr>
          </w:p>
        </w:tc>
        <w:tc>
          <w:tcPr>
            <w:tcW w:w="1814" w:type="dxa"/>
          </w:tcPr>
          <w:p>
            <w:pPr>
              <w:pStyle w:val="40"/>
              <w:spacing w:before="90"/>
              <w:ind w:left="116" w:right="107"/>
              <w:jc w:val="center"/>
              <w:rPr>
                <w:rFonts w:cs="Times New Roman"/>
              </w:rPr>
            </w:pPr>
          </w:p>
        </w:tc>
        <w:tc>
          <w:tcPr>
            <w:tcW w:w="1445" w:type="dxa"/>
          </w:tcPr>
          <w:p>
            <w:pPr>
              <w:pStyle w:val="40"/>
              <w:spacing w:before="90"/>
              <w:ind w:left="152" w:right="143"/>
              <w:jc w:val="center"/>
              <w:rPr>
                <w:rFonts w:cs="Times New Roman"/>
              </w:rPr>
            </w:pPr>
          </w:p>
        </w:tc>
        <w:tc>
          <w:tcPr>
            <w:tcW w:w="2536" w:type="dxa"/>
          </w:tcPr>
          <w:p>
            <w:pPr>
              <w:pStyle w:val="40"/>
              <w:spacing w:before="90"/>
              <w:ind w:left="258" w:right="248"/>
              <w:jc w:val="center"/>
              <w:rPr>
                <w:rFonts w:cs="Times New Roman"/>
              </w:rPr>
            </w:pPr>
          </w:p>
        </w:tc>
        <w:tc>
          <w:tcPr>
            <w:tcW w:w="1776" w:type="dxa"/>
          </w:tcPr>
          <w:p>
            <w:pPr>
              <w:pStyle w:val="40"/>
              <w:spacing w:before="90"/>
              <w:ind w:left="6" w:right="-15"/>
              <w:jc w:val="center"/>
              <w:rPr>
                <w:rFonts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675" w:type="dxa"/>
          </w:tcPr>
          <w:p>
            <w:pPr>
              <w:pStyle w:val="40"/>
              <w:spacing w:before="90"/>
              <w:ind w:left="7"/>
              <w:jc w:val="center"/>
            </w:pPr>
            <w:r>
              <w:t>4</w:t>
            </w:r>
          </w:p>
        </w:tc>
        <w:tc>
          <w:tcPr>
            <w:tcW w:w="1079" w:type="dxa"/>
          </w:tcPr>
          <w:p>
            <w:pPr>
              <w:pStyle w:val="40"/>
              <w:spacing w:before="90"/>
              <w:ind w:left="188" w:right="180"/>
              <w:rPr>
                <w:rFonts w:cs="Times New Roman"/>
              </w:rPr>
            </w:pPr>
          </w:p>
        </w:tc>
        <w:tc>
          <w:tcPr>
            <w:tcW w:w="1814" w:type="dxa"/>
          </w:tcPr>
          <w:p>
            <w:pPr>
              <w:pStyle w:val="40"/>
              <w:spacing w:before="90"/>
              <w:ind w:left="116" w:right="107"/>
              <w:jc w:val="center"/>
              <w:rPr>
                <w:rFonts w:cs="Times New Roman"/>
              </w:rPr>
            </w:pPr>
          </w:p>
        </w:tc>
        <w:tc>
          <w:tcPr>
            <w:tcW w:w="1445" w:type="dxa"/>
          </w:tcPr>
          <w:p>
            <w:pPr>
              <w:pStyle w:val="40"/>
              <w:spacing w:before="90"/>
              <w:ind w:left="152" w:right="143"/>
              <w:jc w:val="center"/>
              <w:rPr>
                <w:rFonts w:cs="Times New Roman"/>
              </w:rPr>
            </w:pPr>
          </w:p>
        </w:tc>
        <w:tc>
          <w:tcPr>
            <w:tcW w:w="2536" w:type="dxa"/>
          </w:tcPr>
          <w:p>
            <w:pPr>
              <w:pStyle w:val="40"/>
              <w:spacing w:before="90"/>
              <w:ind w:left="258" w:right="248"/>
              <w:jc w:val="center"/>
              <w:rPr>
                <w:rFonts w:cs="Times New Roman"/>
              </w:rPr>
            </w:pPr>
          </w:p>
        </w:tc>
        <w:tc>
          <w:tcPr>
            <w:tcW w:w="1776" w:type="dxa"/>
          </w:tcPr>
          <w:p>
            <w:pPr>
              <w:pStyle w:val="40"/>
              <w:spacing w:before="90"/>
              <w:ind w:left="6" w:right="-15"/>
              <w:jc w:val="center"/>
              <w:rPr>
                <w:rFonts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675" w:type="dxa"/>
          </w:tcPr>
          <w:p>
            <w:pPr>
              <w:pStyle w:val="40"/>
              <w:spacing w:before="91"/>
              <w:ind w:left="7"/>
              <w:jc w:val="center"/>
            </w:pPr>
            <w:r>
              <w:t>5</w:t>
            </w:r>
          </w:p>
        </w:tc>
        <w:tc>
          <w:tcPr>
            <w:tcW w:w="1079" w:type="dxa"/>
          </w:tcPr>
          <w:p>
            <w:pPr>
              <w:pStyle w:val="40"/>
              <w:spacing w:before="91"/>
              <w:ind w:left="188" w:right="180"/>
              <w:rPr>
                <w:rFonts w:cs="Times New Roman"/>
              </w:rPr>
            </w:pPr>
          </w:p>
        </w:tc>
        <w:tc>
          <w:tcPr>
            <w:tcW w:w="1814" w:type="dxa"/>
          </w:tcPr>
          <w:p>
            <w:pPr>
              <w:pStyle w:val="40"/>
              <w:spacing w:before="91"/>
              <w:ind w:left="116" w:right="107"/>
              <w:jc w:val="center"/>
              <w:rPr>
                <w:rFonts w:cs="Times New Roman"/>
              </w:rPr>
            </w:pPr>
          </w:p>
        </w:tc>
        <w:tc>
          <w:tcPr>
            <w:tcW w:w="1445" w:type="dxa"/>
          </w:tcPr>
          <w:p>
            <w:pPr>
              <w:pStyle w:val="40"/>
              <w:spacing w:before="91"/>
              <w:ind w:left="152" w:right="143"/>
              <w:jc w:val="center"/>
              <w:rPr>
                <w:rFonts w:cs="Times New Roman"/>
              </w:rPr>
            </w:pPr>
          </w:p>
        </w:tc>
        <w:tc>
          <w:tcPr>
            <w:tcW w:w="2536" w:type="dxa"/>
          </w:tcPr>
          <w:p>
            <w:pPr>
              <w:pStyle w:val="40"/>
              <w:spacing w:before="91"/>
              <w:ind w:left="258" w:right="248"/>
              <w:jc w:val="center"/>
              <w:rPr>
                <w:rFonts w:cs="Times New Roman"/>
              </w:rPr>
            </w:pPr>
          </w:p>
        </w:tc>
        <w:tc>
          <w:tcPr>
            <w:tcW w:w="1776" w:type="dxa"/>
          </w:tcPr>
          <w:p>
            <w:pPr>
              <w:pStyle w:val="40"/>
              <w:spacing w:before="91"/>
              <w:ind w:right="-15"/>
              <w:rPr>
                <w:rFonts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675" w:type="dxa"/>
          </w:tcPr>
          <w:p>
            <w:pPr>
              <w:pStyle w:val="40"/>
              <w:spacing w:before="91"/>
              <w:ind w:left="7"/>
              <w:jc w:val="center"/>
            </w:pPr>
            <w:r>
              <w:t>6</w:t>
            </w:r>
          </w:p>
        </w:tc>
        <w:tc>
          <w:tcPr>
            <w:tcW w:w="1079" w:type="dxa"/>
          </w:tcPr>
          <w:p>
            <w:pPr>
              <w:pStyle w:val="40"/>
              <w:spacing w:before="91"/>
              <w:ind w:left="188" w:right="180"/>
              <w:jc w:val="center"/>
              <w:rPr>
                <w:rFonts w:cs="Times New Roman"/>
              </w:rPr>
            </w:pPr>
          </w:p>
        </w:tc>
        <w:tc>
          <w:tcPr>
            <w:tcW w:w="1814" w:type="dxa"/>
          </w:tcPr>
          <w:p>
            <w:pPr>
              <w:pStyle w:val="40"/>
              <w:spacing w:before="91"/>
              <w:ind w:left="116" w:right="107"/>
              <w:jc w:val="center"/>
              <w:rPr>
                <w:rFonts w:cs="Times New Roman"/>
              </w:rPr>
            </w:pPr>
          </w:p>
        </w:tc>
        <w:tc>
          <w:tcPr>
            <w:tcW w:w="1445" w:type="dxa"/>
          </w:tcPr>
          <w:p>
            <w:pPr>
              <w:pStyle w:val="40"/>
              <w:spacing w:before="91"/>
              <w:ind w:left="152" w:right="143"/>
              <w:jc w:val="center"/>
              <w:rPr>
                <w:rFonts w:cs="Times New Roman"/>
              </w:rPr>
            </w:pPr>
          </w:p>
        </w:tc>
        <w:tc>
          <w:tcPr>
            <w:tcW w:w="2536" w:type="dxa"/>
          </w:tcPr>
          <w:p>
            <w:pPr>
              <w:pStyle w:val="40"/>
              <w:spacing w:before="91"/>
              <w:ind w:left="258" w:right="248"/>
              <w:jc w:val="center"/>
              <w:rPr>
                <w:rFonts w:cs="Times New Roman"/>
              </w:rPr>
            </w:pPr>
          </w:p>
        </w:tc>
        <w:tc>
          <w:tcPr>
            <w:tcW w:w="1776" w:type="dxa"/>
          </w:tcPr>
          <w:p>
            <w:pPr>
              <w:pStyle w:val="40"/>
              <w:spacing w:before="91"/>
              <w:ind w:left="6" w:right="-15"/>
              <w:rPr>
                <w:rFonts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675" w:type="dxa"/>
          </w:tcPr>
          <w:p>
            <w:pPr>
              <w:pStyle w:val="40"/>
              <w:spacing w:before="90"/>
              <w:ind w:left="7"/>
              <w:jc w:val="center"/>
            </w:pPr>
            <w:r>
              <w:t>7</w:t>
            </w:r>
          </w:p>
        </w:tc>
        <w:tc>
          <w:tcPr>
            <w:tcW w:w="1079" w:type="dxa"/>
          </w:tcPr>
          <w:p>
            <w:pPr>
              <w:pStyle w:val="40"/>
              <w:spacing w:before="90"/>
              <w:ind w:left="188" w:right="178"/>
              <w:jc w:val="center"/>
              <w:rPr>
                <w:rFonts w:cs="Times New Roman"/>
              </w:rPr>
            </w:pPr>
          </w:p>
        </w:tc>
        <w:tc>
          <w:tcPr>
            <w:tcW w:w="1814" w:type="dxa"/>
          </w:tcPr>
          <w:p>
            <w:pPr>
              <w:pStyle w:val="40"/>
              <w:spacing w:before="90"/>
              <w:ind w:left="116" w:right="107"/>
              <w:jc w:val="center"/>
              <w:rPr>
                <w:rFonts w:cs="Times New Roman"/>
              </w:rPr>
            </w:pPr>
          </w:p>
        </w:tc>
        <w:tc>
          <w:tcPr>
            <w:tcW w:w="1445" w:type="dxa"/>
          </w:tcPr>
          <w:p>
            <w:pPr>
              <w:pStyle w:val="40"/>
              <w:spacing w:before="90"/>
              <w:ind w:left="152" w:right="143"/>
              <w:jc w:val="center"/>
              <w:rPr>
                <w:rFonts w:cs="Times New Roman"/>
              </w:rPr>
            </w:pPr>
          </w:p>
        </w:tc>
        <w:tc>
          <w:tcPr>
            <w:tcW w:w="2536" w:type="dxa"/>
          </w:tcPr>
          <w:p>
            <w:pPr>
              <w:pStyle w:val="40"/>
              <w:spacing w:before="90"/>
              <w:ind w:left="258" w:right="248"/>
              <w:jc w:val="center"/>
              <w:rPr>
                <w:rFonts w:cs="Times New Roman"/>
              </w:rPr>
            </w:pPr>
          </w:p>
        </w:tc>
        <w:tc>
          <w:tcPr>
            <w:tcW w:w="1776" w:type="dxa"/>
          </w:tcPr>
          <w:p>
            <w:pPr>
              <w:pStyle w:val="40"/>
              <w:spacing w:before="90"/>
              <w:ind w:left="6" w:right="-15"/>
              <w:jc w:val="center"/>
              <w:rPr>
                <w:rFonts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675" w:type="dxa"/>
          </w:tcPr>
          <w:p>
            <w:pPr>
              <w:pStyle w:val="40"/>
              <w:spacing w:before="90"/>
              <w:ind w:left="7"/>
              <w:jc w:val="center"/>
            </w:pPr>
            <w:r>
              <w:t>8</w:t>
            </w:r>
          </w:p>
        </w:tc>
        <w:tc>
          <w:tcPr>
            <w:tcW w:w="1079" w:type="dxa"/>
          </w:tcPr>
          <w:p>
            <w:pPr>
              <w:pStyle w:val="40"/>
              <w:spacing w:before="90"/>
              <w:ind w:left="188" w:right="180"/>
              <w:jc w:val="center"/>
              <w:rPr>
                <w:rFonts w:cs="Times New Roman"/>
              </w:rPr>
            </w:pPr>
          </w:p>
        </w:tc>
        <w:tc>
          <w:tcPr>
            <w:tcW w:w="1814" w:type="dxa"/>
          </w:tcPr>
          <w:p>
            <w:pPr>
              <w:pStyle w:val="40"/>
              <w:spacing w:before="90"/>
              <w:ind w:left="116" w:right="107"/>
              <w:jc w:val="center"/>
              <w:rPr>
                <w:rFonts w:cs="Times New Roman"/>
              </w:rPr>
            </w:pPr>
          </w:p>
        </w:tc>
        <w:tc>
          <w:tcPr>
            <w:tcW w:w="1445" w:type="dxa"/>
          </w:tcPr>
          <w:p>
            <w:pPr>
              <w:pStyle w:val="40"/>
              <w:spacing w:before="90"/>
              <w:ind w:left="152" w:right="143"/>
              <w:jc w:val="center"/>
              <w:rPr>
                <w:rFonts w:cs="Times New Roman"/>
              </w:rPr>
            </w:pPr>
          </w:p>
        </w:tc>
        <w:tc>
          <w:tcPr>
            <w:tcW w:w="2536" w:type="dxa"/>
          </w:tcPr>
          <w:p>
            <w:pPr>
              <w:pStyle w:val="40"/>
              <w:spacing w:before="90"/>
              <w:ind w:left="258" w:right="248"/>
              <w:jc w:val="center"/>
              <w:rPr>
                <w:rFonts w:cs="Times New Roman"/>
              </w:rPr>
            </w:pPr>
          </w:p>
        </w:tc>
        <w:tc>
          <w:tcPr>
            <w:tcW w:w="1776" w:type="dxa"/>
          </w:tcPr>
          <w:p>
            <w:pPr>
              <w:pStyle w:val="40"/>
              <w:spacing w:before="90"/>
              <w:ind w:left="6" w:right="-15"/>
              <w:jc w:val="center"/>
              <w:rPr>
                <w:rFonts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675" w:type="dxa"/>
          </w:tcPr>
          <w:p>
            <w:pPr>
              <w:pStyle w:val="40"/>
              <w:spacing w:before="91"/>
              <w:ind w:left="7"/>
              <w:jc w:val="center"/>
            </w:pPr>
            <w:r>
              <w:t>9</w:t>
            </w:r>
          </w:p>
        </w:tc>
        <w:tc>
          <w:tcPr>
            <w:tcW w:w="1079" w:type="dxa"/>
          </w:tcPr>
          <w:p>
            <w:pPr>
              <w:pStyle w:val="40"/>
              <w:spacing w:before="91"/>
              <w:ind w:left="188" w:right="178"/>
              <w:jc w:val="center"/>
              <w:rPr>
                <w:rFonts w:cs="Times New Roman"/>
              </w:rPr>
            </w:pPr>
          </w:p>
        </w:tc>
        <w:tc>
          <w:tcPr>
            <w:tcW w:w="1814" w:type="dxa"/>
          </w:tcPr>
          <w:p>
            <w:pPr>
              <w:pStyle w:val="40"/>
              <w:spacing w:before="91"/>
              <w:ind w:left="116" w:right="107"/>
              <w:jc w:val="center"/>
              <w:rPr>
                <w:rFonts w:cs="Times New Roman"/>
              </w:rPr>
            </w:pPr>
          </w:p>
        </w:tc>
        <w:tc>
          <w:tcPr>
            <w:tcW w:w="1445" w:type="dxa"/>
          </w:tcPr>
          <w:p>
            <w:pPr>
              <w:pStyle w:val="40"/>
              <w:spacing w:before="91"/>
              <w:ind w:left="152" w:right="143"/>
              <w:jc w:val="center"/>
              <w:rPr>
                <w:rFonts w:cs="Times New Roman"/>
              </w:rPr>
            </w:pPr>
          </w:p>
        </w:tc>
        <w:tc>
          <w:tcPr>
            <w:tcW w:w="2536" w:type="dxa"/>
          </w:tcPr>
          <w:p>
            <w:pPr>
              <w:pStyle w:val="40"/>
              <w:spacing w:before="91"/>
              <w:ind w:left="258" w:right="248"/>
              <w:jc w:val="center"/>
              <w:rPr>
                <w:rFonts w:cs="Times New Roman"/>
              </w:rPr>
            </w:pPr>
          </w:p>
        </w:tc>
        <w:tc>
          <w:tcPr>
            <w:tcW w:w="1776" w:type="dxa"/>
          </w:tcPr>
          <w:p>
            <w:pPr>
              <w:pStyle w:val="40"/>
              <w:spacing w:before="91"/>
              <w:ind w:left="6" w:right="-15"/>
              <w:jc w:val="center"/>
              <w:rPr>
                <w:rFonts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675" w:type="dxa"/>
          </w:tcPr>
          <w:p>
            <w:pPr>
              <w:pStyle w:val="40"/>
              <w:spacing w:before="91"/>
              <w:ind w:left="95" w:right="88"/>
              <w:jc w:val="center"/>
            </w:pPr>
            <w:r>
              <w:t>10</w:t>
            </w:r>
          </w:p>
        </w:tc>
        <w:tc>
          <w:tcPr>
            <w:tcW w:w="1079" w:type="dxa"/>
          </w:tcPr>
          <w:p>
            <w:pPr>
              <w:pStyle w:val="40"/>
              <w:spacing w:before="91"/>
              <w:ind w:left="188" w:right="178"/>
              <w:jc w:val="center"/>
              <w:rPr>
                <w:rFonts w:cs="Times New Roman"/>
              </w:rPr>
            </w:pPr>
          </w:p>
        </w:tc>
        <w:tc>
          <w:tcPr>
            <w:tcW w:w="1814" w:type="dxa"/>
          </w:tcPr>
          <w:p>
            <w:pPr>
              <w:pStyle w:val="40"/>
              <w:spacing w:before="91"/>
              <w:ind w:left="116" w:right="107"/>
              <w:jc w:val="center"/>
              <w:rPr>
                <w:rFonts w:cs="Times New Roman"/>
              </w:rPr>
            </w:pPr>
          </w:p>
        </w:tc>
        <w:tc>
          <w:tcPr>
            <w:tcW w:w="1445" w:type="dxa"/>
          </w:tcPr>
          <w:p>
            <w:pPr>
              <w:pStyle w:val="40"/>
              <w:spacing w:before="91"/>
              <w:ind w:left="152" w:right="143"/>
              <w:jc w:val="center"/>
              <w:rPr>
                <w:rFonts w:cs="Times New Roman"/>
              </w:rPr>
            </w:pPr>
          </w:p>
        </w:tc>
        <w:tc>
          <w:tcPr>
            <w:tcW w:w="2536" w:type="dxa"/>
          </w:tcPr>
          <w:p>
            <w:pPr>
              <w:pStyle w:val="40"/>
              <w:spacing w:before="91"/>
              <w:ind w:left="258" w:right="248"/>
              <w:jc w:val="center"/>
              <w:rPr>
                <w:rFonts w:cs="Times New Roman"/>
              </w:rPr>
            </w:pPr>
          </w:p>
        </w:tc>
        <w:tc>
          <w:tcPr>
            <w:tcW w:w="1776" w:type="dxa"/>
          </w:tcPr>
          <w:p>
            <w:pPr>
              <w:pStyle w:val="40"/>
              <w:spacing w:before="91"/>
              <w:ind w:left="6" w:right="-15"/>
              <w:rPr>
                <w:rFonts w:cs="Times New Roman"/>
              </w:rPr>
            </w:pPr>
          </w:p>
        </w:tc>
      </w:tr>
    </w:tbl>
    <w:p>
      <w:pPr>
        <w:adjustRightInd w:val="0"/>
        <w:snapToGrid w:val="0"/>
        <w:spacing w:line="300" w:lineRule="auto"/>
        <w:rPr>
          <w:rFonts w:ascii="宋体" w:cs="Times New Roman"/>
          <w:b/>
          <w:bCs/>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B4B168C"/>
    <w:multiLevelType w:val="singleLevel"/>
    <w:tmpl w:val="BB4B168C"/>
    <w:lvl w:ilvl="0" w:tentative="0">
      <w:start w:val="2"/>
      <w:numFmt w:val="decimal"/>
      <w:lvlText w:val="%1."/>
      <w:lvlJc w:val="left"/>
      <w:pPr>
        <w:tabs>
          <w:tab w:val="left" w:pos="312"/>
        </w:tabs>
      </w:pPr>
    </w:lvl>
  </w:abstractNum>
  <w:abstractNum w:abstractNumId="1">
    <w:nsid w:val="037131E0"/>
    <w:multiLevelType w:val="multilevel"/>
    <w:tmpl w:val="037131E0"/>
    <w:lvl w:ilvl="0" w:tentative="0">
      <w:start w:val="4"/>
      <w:numFmt w:val="japaneseCounting"/>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